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02" w:rsidRPr="000B2002" w:rsidRDefault="00A92A65" w:rsidP="000B2002">
      <w:pPr>
        <w:spacing w:line="360" w:lineRule="exact"/>
        <w:jc w:val="right"/>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66975" cy="368300"/>
                <wp:effectExtent l="0" t="0" r="2857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8300"/>
                        </a:xfrm>
                        <a:prstGeom prst="rect">
                          <a:avLst/>
                        </a:prstGeom>
                        <a:solidFill>
                          <a:srgbClr val="FFFFFF"/>
                        </a:solidFill>
                        <a:ln w="25400">
                          <a:solidFill>
                            <a:srgbClr val="0070C0"/>
                          </a:solidFill>
                          <a:miter lim="800000"/>
                          <a:headEnd/>
                          <a:tailEnd/>
                        </a:ln>
                      </wps:spPr>
                      <wps:txbx>
                        <w:txbxContent>
                          <w:p w:rsidR="00A92A65" w:rsidRDefault="00A92A65" w:rsidP="00A92A65">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w:t>
                            </w:r>
                            <w:r>
                              <w:rPr>
                                <w:rFonts w:ascii="Century" w:eastAsia="HGP創英角ｺﾞｼｯｸUB" w:hAnsi="HGP創英角ｺﾞｼｯｸUB" w:cs="Times New Roman" w:hint="eastAsia"/>
                                <w:color w:val="000000"/>
                              </w:rPr>
                              <w:t>１</w:t>
                            </w:r>
                            <w:bookmarkStart w:id="0" w:name="_GoBack"/>
                            <w:bookmarkEnd w:id="0"/>
                            <w:r>
                              <w:rPr>
                                <w:rFonts w:ascii="Century" w:eastAsia="HGP創英角ｺﾞｼｯｸUB" w:hAnsi="HGP創英角ｺﾞｼｯｸUB" w:cs="Times New Roman" w:hint="eastAsia"/>
                                <w:color w:val="000000"/>
                              </w:rPr>
                              <w:t>（要領第５の２</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３</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0;width:194.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" strokecolor="#0070c0" strokeweight="2pt">
                <v:textbox>
                  <w:txbxContent>
                    <w:p w:rsidR="00A92A65" w:rsidRDefault="00A92A65" w:rsidP="00A92A65">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w:t>
                      </w:r>
                      <w:r>
                        <w:rPr>
                          <w:rFonts w:ascii="Century" w:eastAsia="HGP創英角ｺﾞｼｯｸUB" w:hAnsi="HGP創英角ｺﾞｼｯｸUB" w:cs="Times New Roman" w:hint="eastAsia"/>
                          <w:color w:val="000000"/>
                        </w:rPr>
                        <w:t>１</w:t>
                      </w:r>
                      <w:bookmarkStart w:id="1" w:name="_GoBack"/>
                      <w:bookmarkEnd w:id="1"/>
                      <w:r>
                        <w:rPr>
                          <w:rFonts w:ascii="Century" w:eastAsia="HGP創英角ｺﾞｼｯｸUB" w:hAnsi="HGP創英角ｺﾞｼｯｸUB" w:cs="Times New Roman" w:hint="eastAsia"/>
                          <w:color w:val="000000"/>
                        </w:rPr>
                        <w:t>（要領第５の２</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３</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w:t>
                      </w:r>
                    </w:p>
                  </w:txbxContent>
                </v:textbox>
              </v:rect>
            </w:pict>
          </mc:Fallback>
        </mc:AlternateContent>
      </w:r>
      <w:r w:rsidR="00F3525B">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081F79" w:rsidRDefault="000B2002" w:rsidP="000B2002">
      <w:pPr>
        <w:spacing w:line="360" w:lineRule="exact"/>
        <w:jc w:val="center"/>
        <w:rPr>
          <w:rFonts w:asciiTheme="majorEastAsia" w:eastAsiaTheme="majorEastAsia" w:hAnsiTheme="majorEastAsia"/>
          <w:b/>
          <w:sz w:val="32"/>
          <w:szCs w:val="32"/>
        </w:rPr>
      </w:pPr>
      <w:r w:rsidRPr="00081F79">
        <w:rPr>
          <w:rFonts w:asciiTheme="majorEastAsia" w:eastAsiaTheme="majorEastAsia" w:hAnsiTheme="majorEastAsia" w:hint="eastAsia"/>
          <w:b/>
          <w:sz w:val="32"/>
          <w:szCs w:val="32"/>
        </w:rPr>
        <w:t>比較対象労働者の待遇</w:t>
      </w:r>
      <w:r w:rsidR="00D23A6C" w:rsidRPr="00081F79">
        <w:rPr>
          <w:rFonts w:asciiTheme="majorEastAsia" w:eastAsiaTheme="majorEastAsia" w:hAnsiTheme="majorEastAsia" w:hint="eastAsia"/>
          <w:b/>
          <w:sz w:val="32"/>
          <w:szCs w:val="32"/>
        </w:rPr>
        <w:t>等</w:t>
      </w:r>
      <w:r w:rsidRPr="00081F79">
        <w:rPr>
          <w:rFonts w:asciiTheme="majorEastAsia" w:eastAsiaTheme="majorEastAsia" w:hAnsiTheme="majorEastAsia" w:hint="eastAsia"/>
          <w:b/>
          <w:sz w:val="32"/>
          <w:szCs w:val="32"/>
        </w:rPr>
        <w:t>に関する情報提供</w:t>
      </w:r>
    </w:p>
    <w:p w:rsidR="00DC62AA" w:rsidRPr="00DC62AA" w:rsidRDefault="00DC62AA"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(比較対象者が１人の場合)</w:t>
      </w:r>
    </w:p>
    <w:p w:rsidR="000B2002" w:rsidRPr="005806EB"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比較対象労働者の職務の内容</w:t>
      </w:r>
      <w:r w:rsidR="00D336D1"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（業務の内容及び責任の程度）</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、当該職務の内容及び配置の変更の範囲並びに雇用形態</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【則第2</w:t>
      </w:r>
      <w:r w:rsidRPr="00DC62AA">
        <w:rPr>
          <w:rFonts w:asciiTheme="majorEastAsia" w:eastAsiaTheme="majorEastAsia" w:hAnsiTheme="major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4</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＜厚生労働省編職業細分類323</w:t>
      </w:r>
      <w:r w:rsidR="001A0C47" w:rsidRPr="005806EB">
        <w:rPr>
          <w:rFonts w:asciiTheme="majorEastAsia" w:eastAsiaTheme="majorEastAsia" w:hAnsiTheme="major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-04</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中核的業務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その他の業務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責任の程度</w:t>
      </w:r>
    </w:p>
    <w:p w:rsidR="004D1AE0" w:rsidRPr="005806EB"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権限の範囲</w:t>
      </w:r>
      <w:r w:rsidR="00A14444">
        <w:rPr>
          <w:rFonts w:asciiTheme="majorEastAsia" w:eastAsiaTheme="majorEastAsia" w:hAnsiTheme="majorEastAsia" w:hint="eastAsia"/>
          <w:sz w:val="24"/>
          <w:szCs w:val="24"/>
        </w:rPr>
        <w:t xml:space="preserve">　　　　：</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5806EB" w:rsidRDefault="00A14444" w:rsidP="005806EB">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トラブル・緊急対応</w:t>
      </w:r>
      <w:r w:rsidR="00A14444">
        <w:rPr>
          <w:rFonts w:asciiTheme="majorEastAsia" w:eastAsiaTheme="majorEastAsia" w:hAnsiTheme="majorEastAsia" w:hint="eastAsia"/>
          <w:sz w:val="24"/>
          <w:szCs w:val="24"/>
        </w:rPr>
        <w:t>：</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「その他」については、責任の程度を</w:t>
      </w:r>
      <w:r w:rsidR="00A14444"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指すもの</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職務の内容及び配置の変更の範囲</w:t>
      </w:r>
    </w:p>
    <w:p w:rsidR="00D336D1" w:rsidRPr="005806EB"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職務の内容の変更の範囲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5806EB">
      <w:pPr>
        <w:spacing w:line="360" w:lineRule="exact"/>
        <w:ind w:left="235" w:hangingChars="100" w:hanging="235"/>
        <w:rPr>
          <w:rFonts w:asciiTheme="majorEastAsia" w:eastAsiaTheme="majorEastAsia" w:hAnsiTheme="majorEastAsia"/>
          <w:sz w:val="24"/>
          <w:szCs w:val="24"/>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配置の変更の範囲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w:t>
      </w:r>
      <w:r>
        <w:rPr>
          <w:rFonts w:asciiTheme="majorEastAsia" w:eastAsiaTheme="majorEastAsia" w:hAnsiTheme="majorEastAsia" w:hint="eastAsia"/>
          <w:sz w:val="24"/>
          <w:szCs w:val="24"/>
        </w:rPr>
        <w:t>：</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50778A">
        <w:rPr>
          <w:rFonts w:asciiTheme="majorEastAsia" w:eastAsiaTheme="majorEastAsia" w:hAnsiTheme="majorEastAsia" w:hint="eastAsia"/>
          <w:b/>
          <w:sz w:val="24"/>
          <w:szCs w:val="24"/>
          <w14:textOutline w14:w="9525" w14:cap="rnd" w14:cmpd="sng" w14:algn="ctr">
            <w14:solidFill>
              <w14:srgbClr w14:val="000000"/>
            </w14:solidFill>
            <w14:prstDash w14:val="solid"/>
            <w14:bevel/>
          </w14:textOutline>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p>
        </w:tc>
        <w:tc>
          <w:tcPr>
            <w:tcW w:w="4638" w:type="dxa"/>
          </w:tcPr>
          <w:p w:rsidR="00D62EF3"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食堂</w:t>
            </w:r>
            <w:r>
              <w:rPr>
                <w:rFonts w:asciiTheme="majorEastAsia" w:eastAsiaTheme="majorEastAsia" w:hAnsiTheme="majorEastAsia" w:hint="eastAsia"/>
                <w:sz w:val="24"/>
                <w:szCs w:val="24"/>
              </w:rPr>
              <w:t>：施設有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休憩室</w:t>
            </w:r>
            <w:r>
              <w:rPr>
                <w:rFonts w:asciiTheme="majorEastAsia" w:eastAsiaTheme="majorEastAsia" w:hAnsiTheme="majorEastAsia" w:hint="eastAsia"/>
                <w:sz w:val="24"/>
                <w:szCs w:val="24"/>
              </w:rPr>
              <w:t>：施設無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㉓　安全管理に関する措置及び給付：制度無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50778A" w:rsidRDefault="000E538C" w:rsidP="000E538C">
      <w:pPr>
        <w:spacing w:line="360" w:lineRule="exact"/>
        <w:ind w:leftChars="200" w:left="660" w:hangingChars="100" w:hanging="240"/>
        <w:rPr>
          <w:rFonts w:asciiTheme="majorEastAsia" w:eastAsiaTheme="majorEastAsia" w:hAnsiTheme="majorEastAsia"/>
          <w:sz w:val="24"/>
          <w:szCs w:val="24"/>
          <w14:textOutline w14:w="9525" w14:cap="rnd" w14:cmpd="sng" w14:algn="ctr">
            <w14:solidFill>
              <w14:srgbClr w14:val="000000"/>
            </w14:solidFill>
            <w14:prstDash w14:val="solid"/>
            <w14:bevel/>
          </w14:textOutline>
        </w:rPr>
      </w:pPr>
      <w:r w:rsidRPr="0050778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＜制度がない旨の記載例＞</w:t>
      </w:r>
    </w:p>
    <w:p w:rsidR="000E538C" w:rsidRPr="0050778A" w:rsidRDefault="00711106" w:rsidP="0050778A">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289" w:rsidRDefault="00067289" w:rsidP="00D23A6C">
      <w:r>
        <w:separator/>
      </w:r>
    </w:p>
  </w:endnote>
  <w:endnote w:type="continuationSeparator" w:id="0">
    <w:p w:rsidR="00067289" w:rsidRDefault="00067289"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F3525B" w:rsidRPr="00F3525B">
          <w:rPr>
            <w:noProof/>
            <w:lang w:val="ja-JP"/>
          </w:rPr>
          <w:t>1</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289" w:rsidRDefault="00067289" w:rsidP="00D23A6C">
      <w:r>
        <w:separator/>
      </w:r>
    </w:p>
  </w:footnote>
  <w:footnote w:type="continuationSeparator" w:id="0">
    <w:p w:rsidR="00067289" w:rsidRDefault="00067289" w:rsidP="00D2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54AE0"/>
    <w:rsid w:val="00067289"/>
    <w:rsid w:val="0007243C"/>
    <w:rsid w:val="00081F79"/>
    <w:rsid w:val="000B1187"/>
    <w:rsid w:val="000B2002"/>
    <w:rsid w:val="000D5163"/>
    <w:rsid w:val="000E1081"/>
    <w:rsid w:val="000E538C"/>
    <w:rsid w:val="000F6BD6"/>
    <w:rsid w:val="00130A88"/>
    <w:rsid w:val="001546F6"/>
    <w:rsid w:val="00164EB2"/>
    <w:rsid w:val="001712E6"/>
    <w:rsid w:val="00182FF2"/>
    <w:rsid w:val="001A0C47"/>
    <w:rsid w:val="0029046F"/>
    <w:rsid w:val="002A23B7"/>
    <w:rsid w:val="002A6F68"/>
    <w:rsid w:val="002A7573"/>
    <w:rsid w:val="002C5678"/>
    <w:rsid w:val="002D2267"/>
    <w:rsid w:val="00356AA6"/>
    <w:rsid w:val="003D2930"/>
    <w:rsid w:val="00492DC8"/>
    <w:rsid w:val="004D1AE0"/>
    <w:rsid w:val="0050778A"/>
    <w:rsid w:val="00557809"/>
    <w:rsid w:val="00572499"/>
    <w:rsid w:val="005806EB"/>
    <w:rsid w:val="00585366"/>
    <w:rsid w:val="005A2820"/>
    <w:rsid w:val="00606B3A"/>
    <w:rsid w:val="00640881"/>
    <w:rsid w:val="00666427"/>
    <w:rsid w:val="00711106"/>
    <w:rsid w:val="00790135"/>
    <w:rsid w:val="007A0061"/>
    <w:rsid w:val="007F2AA5"/>
    <w:rsid w:val="00801FC4"/>
    <w:rsid w:val="00845CBB"/>
    <w:rsid w:val="008F195A"/>
    <w:rsid w:val="00901F0D"/>
    <w:rsid w:val="00952F02"/>
    <w:rsid w:val="009778C2"/>
    <w:rsid w:val="00982B77"/>
    <w:rsid w:val="009B2D70"/>
    <w:rsid w:val="00A14444"/>
    <w:rsid w:val="00A54D4A"/>
    <w:rsid w:val="00A63E5B"/>
    <w:rsid w:val="00A906F7"/>
    <w:rsid w:val="00A92A65"/>
    <w:rsid w:val="00AC6C37"/>
    <w:rsid w:val="00BD20A2"/>
    <w:rsid w:val="00BE139F"/>
    <w:rsid w:val="00C32B02"/>
    <w:rsid w:val="00C7529D"/>
    <w:rsid w:val="00C92CA9"/>
    <w:rsid w:val="00CE5F33"/>
    <w:rsid w:val="00D12E23"/>
    <w:rsid w:val="00D1572A"/>
    <w:rsid w:val="00D23A6C"/>
    <w:rsid w:val="00D27EC9"/>
    <w:rsid w:val="00D336D1"/>
    <w:rsid w:val="00D42A7A"/>
    <w:rsid w:val="00D62EF3"/>
    <w:rsid w:val="00D93DCC"/>
    <w:rsid w:val="00DC62AA"/>
    <w:rsid w:val="00DE0E67"/>
    <w:rsid w:val="00DF0806"/>
    <w:rsid w:val="00E43417"/>
    <w:rsid w:val="00E46817"/>
    <w:rsid w:val="00E565E2"/>
    <w:rsid w:val="00E604F5"/>
    <w:rsid w:val="00E85272"/>
    <w:rsid w:val="00EA71CD"/>
    <w:rsid w:val="00EF5A5F"/>
    <w:rsid w:val="00F12C5E"/>
    <w:rsid w:val="00F17671"/>
    <w:rsid w:val="00F3525B"/>
    <w:rsid w:val="00F7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08050"/>
  <w15:docId w15:val="{04D3F23F-FF41-4DDB-8382-879B16B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5806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38D8-29DE-4431-A8A6-B9E68C46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山梨 労働</cp:lastModifiedBy>
  <cp:revision>16</cp:revision>
  <cp:lastPrinted>2019-05-31T06:15:00Z</cp:lastPrinted>
  <dcterms:created xsi:type="dcterms:W3CDTF">2019-03-15T02:52:00Z</dcterms:created>
  <dcterms:modified xsi:type="dcterms:W3CDTF">2020-04-10T04:09:00Z</dcterms:modified>
</cp:coreProperties>
</file>