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F11E7F" w:rsidRDefault="009341CC" w:rsidP="009341CC">
      <w:pPr>
        <w:jc w:val="center"/>
        <w:rPr>
          <w:rFonts w:asciiTheme="majorEastAsia" w:eastAsiaTheme="majorEastAsia" w:hAnsiTheme="majorEastAsia"/>
          <w:szCs w:val="24"/>
        </w:rPr>
      </w:pPr>
      <w:bookmarkStart w:id="0" w:name="_GoBack"/>
      <w:bookmarkEnd w:id="0"/>
      <w:r w:rsidRPr="00F11E7F">
        <w:rPr>
          <w:rFonts w:asciiTheme="majorEastAsia" w:eastAsiaTheme="majorEastAsia" w:hAnsiTheme="majorEastAsia" w:hint="eastAsia"/>
          <w:szCs w:val="24"/>
        </w:rPr>
        <w:t>荷役５大災害防止対策チェックリスト</w:t>
      </w:r>
    </w:p>
    <w:p w:rsidR="009341CC" w:rsidRPr="00EA6E88" w:rsidRDefault="009341CC" w:rsidP="009341CC">
      <w:pPr>
        <w:jc w:val="right"/>
        <w:rPr>
          <w:rFonts w:asciiTheme="majorEastAsia" w:eastAsiaTheme="majorEastAsia" w:hAnsiTheme="majorEastAsia"/>
          <w:b/>
        </w:rPr>
      </w:pPr>
      <w:r w:rsidRPr="00EA6E88">
        <w:rPr>
          <w:rFonts w:asciiTheme="majorEastAsia" w:eastAsiaTheme="majorEastAsia" w:hAnsiTheme="majorEastAsia" w:hint="eastAsia"/>
          <w:b/>
        </w:rPr>
        <w:t>（荷主、配送先、元請事業者等用）</w:t>
      </w: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1126"/>
        <w:gridCol w:w="5608"/>
        <w:gridCol w:w="1129"/>
        <w:gridCol w:w="6159"/>
      </w:tblGrid>
      <w:tr w:rsidR="009341CC" w:rsidRPr="001B6C3B" w:rsidTr="00FD7ECC">
        <w:trPr>
          <w:trHeight w:val="360"/>
        </w:trPr>
        <w:tc>
          <w:tcPr>
            <w:tcW w:w="1222" w:type="dxa"/>
            <w:vAlign w:val="center"/>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6807" w:type="dxa"/>
            <w:gridSpan w:val="2"/>
            <w:vAlign w:val="center"/>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1134" w:type="dxa"/>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234" w:type="dxa"/>
            <w:vAlign w:val="center"/>
          </w:tcPr>
          <w:p w:rsidR="00D16C25" w:rsidRDefault="00D16C25" w:rsidP="00D16C2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341CC" w:rsidRPr="001B6C3B" w:rsidRDefault="00D16C25" w:rsidP="00D16C2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341CC" w:rsidRPr="001B6C3B" w:rsidTr="00FD7ECC">
        <w:trPr>
          <w:trHeight w:val="645"/>
        </w:trPr>
        <w:tc>
          <w:tcPr>
            <w:tcW w:w="1222" w:type="dxa"/>
            <w:tcBorders>
              <w:bottom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rsidR="009341CC" w:rsidRPr="001B6C3B" w:rsidRDefault="009341CC" w:rsidP="00FD7ECC">
            <w:pPr>
              <w:rPr>
                <w:rFonts w:asciiTheme="majorEastAsia" w:eastAsiaTheme="majorEastAsia" w:hAnsiTheme="majorEastAsia"/>
                <w:sz w:val="18"/>
                <w:szCs w:val="18"/>
              </w:rPr>
            </w:pPr>
          </w:p>
        </w:tc>
        <w:tc>
          <w:tcPr>
            <w:tcW w:w="1134" w:type="dxa"/>
            <w:tcBorders>
              <w:bottom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5673" w:type="dxa"/>
            <w:tcBorders>
              <w:bottom w:val="single" w:sz="4" w:space="0" w:color="auto"/>
            </w:tcBorders>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rsidR="009341CC" w:rsidRPr="001B6C3B" w:rsidRDefault="009341CC" w:rsidP="00FD7ECC">
            <w:pPr>
              <w:jc w:val="center"/>
              <w:rPr>
                <w:rFonts w:asciiTheme="majorEastAsia" w:eastAsiaTheme="majorEastAsia" w:hAnsiTheme="majorEastAsia"/>
              </w:rPr>
            </w:pPr>
          </w:p>
        </w:tc>
        <w:tc>
          <w:tcPr>
            <w:tcW w:w="6234" w:type="dxa"/>
            <w:tcBorders>
              <w:bottom w:val="single" w:sz="4" w:space="0" w:color="auto"/>
            </w:tcBorders>
          </w:tcPr>
          <w:p w:rsidR="009443AC" w:rsidRPr="001B6C3B" w:rsidRDefault="009443AC" w:rsidP="009443AC">
            <w:pPr>
              <w:rPr>
                <w:rFonts w:asciiTheme="majorEastAsia" w:eastAsiaTheme="majorEastAsia" w:hAnsiTheme="majorEastAsia"/>
                <w:sz w:val="18"/>
                <w:szCs w:val="18"/>
              </w:rPr>
            </w:pPr>
          </w:p>
        </w:tc>
      </w:tr>
      <w:tr w:rsidR="009341CC" w:rsidRPr="001B6C3B" w:rsidTr="00FD7ECC">
        <w:trPr>
          <w:trHeight w:val="928"/>
        </w:trPr>
        <w:tc>
          <w:tcPr>
            <w:tcW w:w="1222" w:type="dxa"/>
            <w:vMerge w:val="restart"/>
            <w:tcBorders>
              <w:top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rsidR="009341CC" w:rsidRPr="001B6C3B" w:rsidRDefault="009341CC" w:rsidP="00F42E8E">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rsidR="009341CC" w:rsidRPr="001B6C3B" w:rsidRDefault="009341CC" w:rsidP="00FD7ECC">
            <w:pPr>
              <w:jc w:val="center"/>
              <w:rPr>
                <w:rFonts w:asciiTheme="majorEastAsia" w:eastAsiaTheme="majorEastAsia" w:hAnsiTheme="majorEastAsia"/>
                <w:sz w:val="32"/>
                <w:szCs w:val="32"/>
              </w:rPr>
            </w:pPr>
          </w:p>
        </w:tc>
        <w:tc>
          <w:tcPr>
            <w:tcW w:w="6234" w:type="dxa"/>
            <w:tcBorders>
              <w:top w:val="single" w:sz="4" w:space="0" w:color="auto"/>
            </w:tcBorders>
          </w:tcPr>
          <w:p w:rsidR="009341CC" w:rsidRPr="001B6C3B" w:rsidRDefault="009341CC" w:rsidP="00FD7ECC">
            <w:pPr>
              <w:rPr>
                <w:rFonts w:asciiTheme="majorEastAsia" w:eastAsiaTheme="majorEastAsia" w:hAnsiTheme="majorEastAsia"/>
                <w:sz w:val="18"/>
                <w:szCs w:val="18"/>
              </w:rPr>
            </w:pPr>
          </w:p>
        </w:tc>
      </w:tr>
      <w:tr w:rsidR="009341CC" w:rsidRPr="001B6C3B" w:rsidTr="00FD7ECC">
        <w:trPr>
          <w:trHeight w:val="1003"/>
        </w:trPr>
        <w:tc>
          <w:tcPr>
            <w:tcW w:w="1222" w:type="dxa"/>
            <w:vMerge/>
          </w:tcPr>
          <w:p w:rsidR="009341CC" w:rsidRPr="001B6C3B" w:rsidRDefault="009341CC" w:rsidP="00FD7ECC">
            <w:pPr>
              <w:rPr>
                <w:rFonts w:asciiTheme="majorEastAsia" w:eastAsiaTheme="majorEastAsia" w:hAnsiTheme="majorEastAsia"/>
                <w:sz w:val="18"/>
                <w:szCs w:val="18"/>
              </w:rPr>
            </w:pPr>
          </w:p>
        </w:tc>
        <w:tc>
          <w:tcPr>
            <w:tcW w:w="1134" w:type="dxa"/>
            <w:vMerge/>
          </w:tcPr>
          <w:p w:rsidR="009341CC" w:rsidRPr="001B6C3B" w:rsidRDefault="009341CC" w:rsidP="00FD7ECC">
            <w:pPr>
              <w:pStyle w:val="af2"/>
              <w:ind w:left="185"/>
              <w:jc w:val="both"/>
              <w:rPr>
                <w:rFonts w:asciiTheme="majorEastAsia" w:eastAsiaTheme="majorEastAsia" w:hAnsiTheme="majorEastAsia"/>
                <w:sz w:val="18"/>
                <w:szCs w:val="18"/>
              </w:rPr>
            </w:pPr>
          </w:p>
        </w:tc>
        <w:tc>
          <w:tcPr>
            <w:tcW w:w="5673" w:type="dxa"/>
          </w:tcPr>
          <w:p w:rsidR="009341CC" w:rsidRPr="001B6C3B" w:rsidRDefault="009341CC" w:rsidP="00F42E8E">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荷主等が管理する施設において、タンクローリー上部に登って行う作業や荷台に積み上げた荷の上での作業等での墜落・転落災害を防止するため、施設側に</w:t>
            </w:r>
            <w:r w:rsidR="003651F4">
              <w:rPr>
                <w:rFonts w:asciiTheme="majorEastAsia" w:eastAsiaTheme="majorEastAsia" w:hAnsiTheme="majorEastAsia" w:hint="eastAsia"/>
                <w:sz w:val="18"/>
                <w:szCs w:val="18"/>
              </w:rPr>
              <w:t>墜落制止用器具</w:t>
            </w:r>
            <w:r w:rsidRPr="001B6C3B">
              <w:rPr>
                <w:rFonts w:asciiTheme="majorEastAsia" w:eastAsiaTheme="majorEastAsia" w:hAnsiTheme="majorEastAsia" w:hint="eastAsia"/>
                <w:sz w:val="18"/>
                <w:szCs w:val="18"/>
              </w:rPr>
              <w:t>取付設備（親綱、フック等）を設置していますか。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 w:val="18"/>
                <w:szCs w:val="18"/>
              </w:rPr>
            </w:pPr>
          </w:p>
        </w:tc>
      </w:tr>
      <w:tr w:rsidR="009341CC" w:rsidRPr="001B6C3B" w:rsidTr="00FD7ECC">
        <w:trPr>
          <w:trHeight w:val="1033"/>
        </w:trPr>
        <w:tc>
          <w:tcPr>
            <w:tcW w:w="1222" w:type="dxa"/>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5673" w:type="dxa"/>
          </w:tcPr>
          <w:p w:rsidR="009341CC" w:rsidRPr="001B6C3B" w:rsidRDefault="009341CC" w:rsidP="0027165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6B546D" w:rsidRDefault="009341CC" w:rsidP="00FD7ECC">
            <w:pPr>
              <w:rPr>
                <w:rFonts w:asciiTheme="majorEastAsia" w:eastAsiaTheme="majorEastAsia" w:hAnsiTheme="majorEastAsia"/>
                <w:sz w:val="18"/>
                <w:szCs w:val="18"/>
              </w:rPr>
            </w:pPr>
          </w:p>
        </w:tc>
      </w:tr>
      <w:tr w:rsidR="009341CC" w:rsidRPr="001B6C3B" w:rsidTr="00FD7ECC">
        <w:trPr>
          <w:trHeight w:val="216"/>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vMerge w:val="restart"/>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vMerge/>
          </w:tcPr>
          <w:p w:rsidR="009341CC" w:rsidRPr="001B6C3B" w:rsidRDefault="009341CC" w:rsidP="00FD7ECC">
            <w:pPr>
              <w:pStyle w:val="a7"/>
              <w:numPr>
                <w:ilvl w:val="0"/>
                <w:numId w:val="15"/>
              </w:numPr>
              <w:ind w:leftChars="0"/>
              <w:rPr>
                <w:rFonts w:asciiTheme="majorEastAsia" w:eastAsiaTheme="majorEastAsia" w:hAnsiTheme="majorEastAsia"/>
                <w:sz w:val="18"/>
                <w:szCs w:val="18"/>
              </w:rPr>
            </w:pP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p w:rsidR="00691907" w:rsidRPr="00691907" w:rsidRDefault="00691907"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構内使用ルールの作成・掲示</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708"/>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950"/>
        </w:trPr>
        <w:tc>
          <w:tcPr>
            <w:tcW w:w="1222" w:type="dxa"/>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440"/>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630"/>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bl>
    <w:p w:rsidR="009341CC" w:rsidRDefault="009341CC" w:rsidP="003651F4">
      <w:pPr>
        <w:pStyle w:val="a7"/>
        <w:numPr>
          <w:ilvl w:val="0"/>
          <w:numId w:val="11"/>
        </w:numPr>
        <w:ind w:leftChars="0"/>
        <w:sectPr w:rsidR="009341CC" w:rsidSect="009341CC">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w:t>
      </w:r>
    </w:p>
    <w:p w:rsidR="00247D8B" w:rsidRPr="00D462F6" w:rsidRDefault="00247D8B" w:rsidP="00BB40DA">
      <w:pPr>
        <w:rPr>
          <w:rFonts w:asciiTheme="minorEastAsia" w:eastAsiaTheme="minorEastAsia" w:hAnsiTheme="minorEastAsia"/>
          <w:szCs w:val="24"/>
        </w:rPr>
      </w:pPr>
    </w:p>
    <w:sectPr w:rsidR="00247D8B" w:rsidRPr="00D462F6" w:rsidSect="009341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22" w:rsidRDefault="00EF4F22" w:rsidP="00B11BB1">
      <w:r>
        <w:separator/>
      </w:r>
    </w:p>
  </w:endnote>
  <w:endnote w:type="continuationSeparator" w:id="0">
    <w:p w:rsidR="00EF4F22" w:rsidRDefault="00EF4F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F4" w:rsidRDefault="003651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55703"/>
      <w:docPartObj>
        <w:docPartGallery w:val="Page Numbers (Bottom of Page)"/>
        <w:docPartUnique/>
      </w:docPartObj>
    </w:sdtPr>
    <w:sdtEndPr/>
    <w:sdtContent>
      <w:p w:rsidR="004770C7" w:rsidRDefault="004770C7">
        <w:pPr>
          <w:pStyle w:val="a5"/>
          <w:jc w:val="center"/>
        </w:pPr>
        <w:r>
          <w:fldChar w:fldCharType="begin"/>
        </w:r>
        <w:r>
          <w:instrText>PAGE   \* MERGEFORMAT</w:instrText>
        </w:r>
        <w:r>
          <w:fldChar w:fldCharType="separate"/>
        </w:r>
        <w:r w:rsidR="000C52D5" w:rsidRPr="000C52D5">
          <w:rPr>
            <w:noProof/>
            <w:lang w:val="ja-JP"/>
          </w:rPr>
          <w:t>2</w:t>
        </w:r>
        <w:r>
          <w:fldChar w:fldCharType="end"/>
        </w:r>
      </w:p>
    </w:sdtContent>
  </w:sdt>
  <w:p w:rsidR="004770C7" w:rsidRDefault="004770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F4" w:rsidRDefault="003651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22" w:rsidRDefault="00EF4F22" w:rsidP="00B11BB1">
      <w:r>
        <w:separator/>
      </w:r>
    </w:p>
  </w:footnote>
  <w:footnote w:type="continuationSeparator" w:id="0">
    <w:p w:rsidR="00EF4F22" w:rsidRDefault="00EF4F2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F4" w:rsidRDefault="003651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F4" w:rsidRDefault="003651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F4" w:rsidRDefault="003651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2D5"/>
    <w:rsid w:val="000C5B28"/>
    <w:rsid w:val="000D006A"/>
    <w:rsid w:val="000E0137"/>
    <w:rsid w:val="000E1905"/>
    <w:rsid w:val="000F79F3"/>
    <w:rsid w:val="00106C7A"/>
    <w:rsid w:val="00112BEC"/>
    <w:rsid w:val="0011529E"/>
    <w:rsid w:val="00115369"/>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51F4"/>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63BB1"/>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3466"/>
    <w:rsid w:val="006232C9"/>
    <w:rsid w:val="00631CC4"/>
    <w:rsid w:val="006529CB"/>
    <w:rsid w:val="00666CA0"/>
    <w:rsid w:val="00691907"/>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7104"/>
    <w:rsid w:val="00770C53"/>
    <w:rsid w:val="007740D9"/>
    <w:rsid w:val="0077676B"/>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3997"/>
    <w:rsid w:val="0083547A"/>
    <w:rsid w:val="008360F7"/>
    <w:rsid w:val="008363B3"/>
    <w:rsid w:val="0084662E"/>
    <w:rsid w:val="008526AD"/>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0DA"/>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A6E88"/>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CD90654-626B-4EF5-9FB2-B9F5E7CE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B355-82DA-4404-9417-BDA00C92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2023-08-07T05:00:00Z</cp:lastPrinted>
  <dcterms:created xsi:type="dcterms:W3CDTF">2023-08-07T05:02:00Z</dcterms:created>
  <dcterms:modified xsi:type="dcterms:W3CDTF">2023-08-07T05:02:00Z</dcterms:modified>
</cp:coreProperties>
</file>