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67E4" w14:textId="1764F31E"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374AA8">
        <w:rPr>
          <w:rFonts w:ascii="ＭＳ ゴシック" w:eastAsia="ＭＳ ゴシック" w:hAnsi="ＭＳ ゴシック" w:hint="eastAsia"/>
          <w:b/>
          <w:sz w:val="24"/>
        </w:rPr>
        <w:t>人材開発支援</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A10C8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A10C8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A10C8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6F682E0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1A3385D" w14:textId="37877956"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374AA8">
        <w:rPr>
          <w:rFonts w:ascii="ＭＳ ゴシック" w:eastAsia="ＭＳ ゴシック" w:hAnsi="ＭＳ ゴシック" w:hint="eastAsia"/>
        </w:rPr>
        <w:t xml:space="preserve">　　年　　月　　日　　　　　　富　山　労働局長</w:t>
      </w:r>
      <w:r w:rsidR="00737A7D" w:rsidRPr="00A82825">
        <w:rPr>
          <w:rFonts w:ascii="ＭＳ ゴシック" w:eastAsia="ＭＳ ゴシック" w:hAnsi="ＭＳ ゴシック" w:hint="eastAsia"/>
        </w:rPr>
        <w:t xml:space="preserve">　殿</w:t>
      </w:r>
    </w:p>
    <w:p w14:paraId="6DB5E8AD" w14:textId="2AFE8ED1" w:rsidR="00737A7D" w:rsidRPr="00A82825" w:rsidRDefault="00737A7D" w:rsidP="00944C5B">
      <w:pPr>
        <w:spacing w:line="380" w:lineRule="exact"/>
        <w:rPr>
          <w:rFonts w:ascii="ＭＳ ゴシック" w:eastAsia="ＭＳ ゴシック" w:hAnsi="ＭＳ ゴシック"/>
        </w:rPr>
      </w:pPr>
      <w:bookmarkStart w:id="0" w:name="_GoBack"/>
      <w:bookmarkEnd w:id="0"/>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r w:rsidR="00952F8E" w:rsidRPr="00287831">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default" r:id="rId12"/>
      <w:footerReference w:type="even" r:id="rId13"/>
      <w:headerReference w:type="first" r:id="rId14"/>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1763" w14:textId="631CADB1"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19234F4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0E15FB60"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EA46" w14:textId="0ED32080"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6581" w14:textId="19F91324"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7348D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7105">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74AA8"/>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48D2"/>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0FF7"/>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46FD4"/>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oter1.xml" Type="http://schemas.openxmlformats.org/officeDocument/2006/relationships/footer"/><Relationship Id="rId14" Target="header2.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3D2E638AEEE947883174573EDCC9BE" ma:contentTypeVersion="13" ma:contentTypeDescription="新しいドキュメントを作成します。" ma:contentTypeScope="" ma:versionID="acb6b6aa3a0c60b167d6a51d8d021c53">
  <xsd:schema xmlns:xsd="http://www.w3.org/2001/XMLSchema" xmlns:xs="http://www.w3.org/2001/XMLSchema" xmlns:p="http://schemas.microsoft.com/office/2006/metadata/properties" xmlns:ns2="5cbf7683-e496-4608-9512-c2c069981192" xmlns:ns3="44856c1c-163a-4db4-9f2d-e69ab44d016d" targetNamespace="http://schemas.microsoft.com/office/2006/metadata/properties" ma:root="true" ma:fieldsID="1782c9fe029a61cea8bcb7b5a195e718" ns2:_="" ns3:_="">
    <xsd:import namespace="5cbf7683-e496-4608-9512-c2c069981192"/>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f7683-e496-4608-9512-c2c06998119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81f15f9-568b-4f51-82e7-71f0fcf89cad}"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856c1c-163a-4db4-9f2d-e69ab44d016d" xsi:nil="true"/>
    <Owner xmlns="5cbf7683-e496-4608-9512-c2c069981192">
      <UserInfo>
        <DisplayName/>
        <AccountId xsi:nil="true"/>
        <AccountType/>
      </UserInfo>
    </Owner>
    <lcf76f155ced4ddcb4097134ff3c332f xmlns="5cbf7683-e496-4608-9512-c2c069981192">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880B9-BB8C-4BC4-8C25-0F258D6DEA11}">
  <ds:schemaRefs>
    <ds:schemaRef ds:uri="http://schemas.microsoft.com/sharepoint/v3/contenttype/forms"/>
  </ds:schemaRefs>
</ds:datastoreItem>
</file>

<file path=customXml/itemProps2.xml><?xml version="1.0" encoding="utf-8"?>
<ds:datastoreItem xmlns:ds="http://schemas.openxmlformats.org/officeDocument/2006/customXml" ds:itemID="{6BAEE1F6-A5C9-47E4-9348-F899DCB95D61}"/>
</file>

<file path=customXml/itemProps3.xml><?xml version="1.0" encoding="utf-8"?>
<ds:datastoreItem xmlns:ds="http://schemas.openxmlformats.org/officeDocument/2006/customXml" ds:itemID="{9DC8EF5D-D61B-45DB-BCDF-09BA7C63EE59}">
  <ds:schemaRefs>
    <ds:schemaRef ds:uri="http://schemas.microsoft.com/office/2006/metadata/properties"/>
    <ds:schemaRef ds:uri="http://schemas.microsoft.com/office/infopath/2007/PartnerControls"/>
    <ds:schemaRef ds:uri="263dbbe5-076b-4606-a03b-9598f5f2f35a"/>
    <ds:schemaRef ds:uri="684c1c50-4c80-4870-89b5-879dfb1bab37"/>
  </ds:schemaRefs>
</ds:datastoreItem>
</file>

<file path=customXml/itemProps4.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5.xml><?xml version="1.0" encoding="utf-8"?>
<ds:datastoreItem xmlns:ds="http://schemas.openxmlformats.org/officeDocument/2006/customXml" ds:itemID="{83AB25D0-DB4B-45FF-BC48-38EE49AB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6552</Words>
  <Characters>1336</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0x010100EF3D2E638AEEE947883174573EDCC9BE</vt:lpwstr>
  </property>
</Properties>
</file>