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51" w:rsidRPr="00881451" w:rsidRDefault="00881451" w:rsidP="00881451">
      <w:pPr>
        <w:overflowPunct w:val="0"/>
        <w:spacing w:line="280" w:lineRule="exact"/>
        <w:ind w:leftChars="-13" w:left="128" w:hangingChars="74" w:hanging="155"/>
        <w:jc w:val="right"/>
        <w:textAlignment w:val="baseline"/>
        <w:rPr>
          <w:rFonts w:ascii="ＭＳ 明朝" w:eastAsia="ＭＳ 明朝" w:hAnsi="ＭＳ 明朝" w:cs="Times New Roman"/>
          <w:color w:val="000000"/>
          <w:kern w:val="0"/>
          <w:sz w:val="18"/>
          <w:szCs w:val="18"/>
        </w:rPr>
      </w:pPr>
      <w:r w:rsidRPr="00881451">
        <w:rPr>
          <w:rFonts w:ascii="ＭＳ ゴシック" w:eastAsia="ＭＳ ゴシック"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4F87388C" wp14:editId="11913ADD">
                <wp:simplePos x="0" y="0"/>
                <wp:positionH relativeFrom="column">
                  <wp:posOffset>20955</wp:posOffset>
                </wp:positionH>
                <wp:positionV relativeFrom="paragraph">
                  <wp:posOffset>126365</wp:posOffset>
                </wp:positionV>
                <wp:extent cx="6120130" cy="492125"/>
                <wp:effectExtent l="19050" t="19050" r="33020" b="60325"/>
                <wp:wrapNone/>
                <wp:docPr id="1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881451" w:rsidRPr="00881451" w:rsidRDefault="00881451" w:rsidP="00881451">
                            <w:pPr>
                              <w:spacing w:line="276" w:lineRule="auto"/>
                              <w:ind w:firstLineChars="100" w:firstLine="281"/>
                              <w:rPr>
                                <w:rFonts w:ascii="HG丸ｺﾞｼｯｸM-PRO" w:eastAsia="HG丸ｺﾞｼｯｸM-PRO" w:hAnsi="HG丸ｺﾞｼｯｸM-PRO"/>
                                <w:b/>
                                <w:color w:val="FFFFFF"/>
                                <w:sz w:val="28"/>
                                <w:szCs w:val="28"/>
                              </w:rPr>
                            </w:pPr>
                            <w:r w:rsidRPr="00881451">
                              <w:rPr>
                                <w:rFonts w:ascii="HG丸ｺﾞｼｯｸM-PRO" w:eastAsia="HG丸ｺﾞｼｯｸM-PRO" w:hAnsi="HG丸ｺﾞｼｯｸM-PRO" w:hint="eastAsia"/>
                                <w:b/>
                                <w:color w:val="FFFFFF"/>
                                <w:sz w:val="28"/>
                                <w:szCs w:val="28"/>
                              </w:rPr>
                              <w:t xml:space="preserve">２　法の適用対象となる港湾運送　　　　 　　 　</w:t>
                            </w:r>
                            <w:r w:rsidRPr="00881451">
                              <w:rPr>
                                <w:rFonts w:ascii="HG丸ｺﾞｼｯｸM-PRO" w:eastAsia="HG丸ｺﾞｼｯｸM-PRO" w:hAnsi="HG丸ｺﾞｼｯｸM-PRO" w:hint="eastAsia"/>
                                <w:b/>
                                <w:color w:val="FFFFFF"/>
                                <w:sz w:val="22"/>
                              </w:rPr>
                              <w:t>（法第２条第２号関係）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388C" id="Rectangle 28" o:spid="_x0000_s1026" style="position:absolute;left:0;text-align:left;margin-left:1.65pt;margin-top:9.95pt;width:481.9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" fillcolor="#9bbb59" strokecolor="#f2f2f2" strokeweight="3pt">
                <v:shadow on="t" color="#254061" opacity=".5" offset="1pt"/>
                <v:textbox inset="5.85pt,.7pt,5.85pt,.7pt">
                  <w:txbxContent>
                    <w:p w:rsidR="00881451" w:rsidRPr="00881451" w:rsidRDefault="00881451" w:rsidP="00881451">
                      <w:pPr>
                        <w:spacing w:line="276" w:lineRule="auto"/>
                        <w:ind w:firstLineChars="100" w:firstLine="281"/>
                        <w:rPr>
                          <w:rFonts w:ascii="HG丸ｺﾞｼｯｸM-PRO" w:eastAsia="HG丸ｺﾞｼｯｸM-PRO" w:hAnsi="HG丸ｺﾞｼｯｸM-PRO"/>
                          <w:b/>
                          <w:color w:val="FFFFFF"/>
                          <w:sz w:val="28"/>
                          <w:szCs w:val="28"/>
                        </w:rPr>
                      </w:pPr>
                      <w:r w:rsidRPr="00881451">
                        <w:rPr>
                          <w:rFonts w:ascii="HG丸ｺﾞｼｯｸM-PRO" w:eastAsia="HG丸ｺﾞｼｯｸM-PRO" w:hAnsi="HG丸ｺﾞｼｯｸM-PRO" w:hint="eastAsia"/>
                          <w:b/>
                          <w:color w:val="FFFFFF"/>
                          <w:sz w:val="28"/>
                          <w:szCs w:val="28"/>
                        </w:rPr>
                        <w:t xml:space="preserve">２　法の適用対象となる港湾運送　　　　 　　 　</w:t>
                      </w:r>
                      <w:r w:rsidRPr="00881451">
                        <w:rPr>
                          <w:rFonts w:ascii="HG丸ｺﾞｼｯｸM-PRO" w:eastAsia="HG丸ｺﾞｼｯｸM-PRO" w:hAnsi="HG丸ｺﾞｼｯｸM-PRO" w:hint="eastAsia"/>
                          <w:b/>
                          <w:color w:val="FFFFFF"/>
                          <w:sz w:val="22"/>
                        </w:rPr>
                        <w:t>（法第２条第２号関係）</w:t>
                      </w:r>
                    </w:p>
                  </w:txbxContent>
                </v:textbox>
              </v:rect>
            </w:pict>
          </mc:Fallback>
        </mc:AlternateContent>
      </w:r>
    </w:p>
    <w:p w:rsidR="00881451" w:rsidRPr="00881451" w:rsidRDefault="00881451" w:rsidP="00881451">
      <w:pPr>
        <w:overflowPunct w:val="0"/>
        <w:spacing w:afterLines="50" w:after="180"/>
        <w:textAlignment w:val="baseline"/>
        <w:rPr>
          <w:rFonts w:ascii="ＭＳ ゴシック" w:eastAsia="ＭＳ ゴシック" w:hAnsi="Times New Roman" w:cs="Times New Roman"/>
          <w:color w:val="000000"/>
          <w:kern w:val="0"/>
          <w:szCs w:val="21"/>
        </w:rPr>
      </w:pPr>
    </w:p>
    <w:p w:rsidR="00881451" w:rsidRPr="00881451" w:rsidRDefault="00881451" w:rsidP="00881451">
      <w:pPr>
        <w:rPr>
          <w:rFonts w:ascii="ＭＳ ゴシック" w:eastAsia="ＭＳ ゴシック" w:hAnsi="ＭＳ ゴシック" w:cs="ＭＳ ゴシック"/>
          <w:b/>
          <w:bCs/>
          <w:color w:val="000000"/>
          <w:kern w:val="0"/>
          <w:szCs w:val="21"/>
        </w:rPr>
      </w:pPr>
    </w:p>
    <w:p w:rsidR="00881451" w:rsidRPr="00881451" w:rsidRDefault="00881451" w:rsidP="00881451">
      <w:pPr>
        <w:ind w:leftChars="100" w:left="210" w:firstLineChars="100" w:firstLine="210"/>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法の適用の対象となる港湾運送とは、２ページの（１）で掲げた適用港湾において行う次の行為をいいます。</w:t>
      </w:r>
    </w:p>
    <w:p w:rsidR="00881451" w:rsidRPr="00881451" w:rsidRDefault="00881451" w:rsidP="00881451">
      <w:pPr>
        <w:rPr>
          <w:rFonts w:ascii="HG丸ｺﾞｼｯｸM-PRO" w:eastAsia="HG丸ｺﾞｼｯｸM-PRO" w:hAnsi="HG丸ｺﾞｼｯｸM-PRO" w:cs="Times New Roman"/>
          <w:kern w:val="0"/>
          <w:sz w:val="28"/>
          <w:szCs w:val="28"/>
        </w:rPr>
      </w:pPr>
      <w:r w:rsidRPr="00881451">
        <w:rPr>
          <w:rFonts w:ascii="HG丸ｺﾞｼｯｸM-PRO" w:eastAsia="HG丸ｺﾞｼｯｸM-PRO" w:hAnsi="HG丸ｺﾞｼｯｸM-PRO" w:cs="ＭＳ ゴシック" w:hint="eastAsia"/>
          <w:bCs/>
          <w:color w:val="000000"/>
          <w:kern w:val="0"/>
          <w:sz w:val="28"/>
          <w:szCs w:val="28"/>
        </w:rPr>
        <w:t>（</w:t>
      </w:r>
      <w:r w:rsidRPr="00881451">
        <w:rPr>
          <w:rFonts w:ascii="HG丸ｺﾞｼｯｸM-PRO" w:eastAsia="HG丸ｺﾞｼｯｸM-PRO" w:hAnsi="HG丸ｺﾞｼｯｸM-PRO" w:cs="ＭＳ ゴシック"/>
          <w:bCs/>
          <w:color w:val="000000"/>
          <w:kern w:val="0"/>
          <w:sz w:val="28"/>
          <w:szCs w:val="28"/>
        </w:rPr>
        <w:t>1</w:t>
      </w:r>
      <w:r w:rsidRPr="00881451">
        <w:rPr>
          <w:rFonts w:ascii="HG丸ｺﾞｼｯｸM-PRO" w:eastAsia="HG丸ｺﾞｼｯｸM-PRO" w:hAnsi="HG丸ｺﾞｼｯｸM-PRO" w:cs="ＭＳ ゴシック" w:hint="eastAsia"/>
          <w:bCs/>
          <w:color w:val="000000"/>
          <w:kern w:val="0"/>
          <w:sz w:val="28"/>
          <w:szCs w:val="28"/>
        </w:rPr>
        <w:t>）</w:t>
      </w:r>
      <w:r w:rsidRPr="00881451">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0288" behindDoc="0" locked="0" layoutInCell="1" allowOverlap="1" wp14:anchorId="0B8BE843" wp14:editId="1159F9C1">
                <wp:simplePos x="0" y="0"/>
                <wp:positionH relativeFrom="column">
                  <wp:posOffset>56515</wp:posOffset>
                </wp:positionH>
                <wp:positionV relativeFrom="paragraph">
                  <wp:posOffset>355600</wp:posOffset>
                </wp:positionV>
                <wp:extent cx="6109970" cy="0"/>
                <wp:effectExtent l="14605" t="15240" r="19050" b="13335"/>
                <wp:wrapNone/>
                <wp:docPr id="1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A96A3" id="_x0000_t32" coordsize="21600,21600" o:spt="32" o:oned="t" path="m,l21600,21600e" filled="f">
                <v:path arrowok="t" fillok="f" o:connecttype="none"/>
                <o:lock v:ext="edit" shapetype="t"/>
              </v:shapetype>
              <v:shape id="AutoShape 30" o:spid="_x0000_s1026" type="#_x0000_t32" style="position:absolute;left:0;text-align:left;margin-left:4.45pt;margin-top:28pt;width:48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" strokecolor="#0070c0" strokeweight="2pt">
                <v:stroke dashstyle="1 1"/>
                <v:shadow on="t" color="#4d4d4d" opacity="52428f" offset="0,0"/>
              </v:shape>
            </w:pict>
          </mc:Fallback>
        </mc:AlternateContent>
      </w:r>
      <w:r w:rsidRPr="00881451">
        <w:rPr>
          <w:rFonts w:ascii="HG丸ｺﾞｼｯｸM-PRO" w:eastAsia="HG丸ｺﾞｼｯｸM-PRO" w:hAnsi="HG丸ｺﾞｼｯｸM-PRO" w:cs="ＭＳ ゴシック" w:hint="eastAsia"/>
          <w:bCs/>
          <w:color w:val="000000"/>
          <w:kern w:val="0"/>
          <w:sz w:val="28"/>
          <w:szCs w:val="28"/>
        </w:rPr>
        <w:t xml:space="preserve">  </w:t>
      </w:r>
      <w:r w:rsidRPr="00881451">
        <w:rPr>
          <w:rFonts w:ascii="HG丸ｺﾞｼｯｸM-PRO" w:eastAsia="HG丸ｺﾞｼｯｸM-PRO" w:hAnsi="HG丸ｺﾞｼｯｸM-PRO" w:cs="Times New Roman" w:hint="eastAsia"/>
          <w:kern w:val="0"/>
          <w:sz w:val="28"/>
          <w:szCs w:val="28"/>
        </w:rPr>
        <w:t>船内荷役・はしけ運送・沿岸荷役・いかだ運送の行為</w:t>
      </w:r>
    </w:p>
    <w:p w:rsidR="00881451" w:rsidRPr="00881451" w:rsidRDefault="00881451" w:rsidP="00881451">
      <w:pPr>
        <w:spacing w:afterLines="50" w:after="180"/>
        <w:ind w:leftChars="100" w:left="210" w:firstLineChars="100" w:firstLine="210"/>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港湾運送事業法第２条第１項に規定する港湾運送のうち、船内荷役、はしけ運送、沿岸荷役及びいかだ運送の行為とは、次の行為をいいます。</w:t>
      </w:r>
    </w:p>
    <w:p w:rsidR="00881451" w:rsidRPr="00881451" w:rsidRDefault="00881451" w:rsidP="00881451">
      <w:pPr>
        <w:spacing w:afterLines="50" w:after="180"/>
        <w:ind w:leftChars="100" w:left="210" w:firstLineChars="100" w:firstLine="160"/>
        <w:rPr>
          <w:rFonts w:ascii="游ゴシック Medium" w:eastAsia="游ゴシック Medium" w:hAnsi="游ゴシック Medium" w:cs="Times New Roman"/>
          <w:kern w:val="0"/>
          <w:sz w:val="16"/>
          <w:szCs w:val="16"/>
        </w:rPr>
      </w:pPr>
    </w:p>
    <w:tbl>
      <w:tblPr>
        <w:tblStyle w:val="1"/>
        <w:tblW w:w="9520" w:type="dxa"/>
        <w:tblInd w:w="108" w:type="dxa"/>
        <w:tblLook w:val="04A0" w:firstRow="1" w:lastRow="0" w:firstColumn="1" w:lastColumn="0" w:noHBand="0" w:noVBand="1"/>
      </w:tblPr>
      <w:tblGrid>
        <w:gridCol w:w="1134"/>
        <w:gridCol w:w="8363"/>
        <w:gridCol w:w="23"/>
      </w:tblGrid>
      <w:tr w:rsidR="00881451" w:rsidRPr="00881451" w:rsidTr="00881451">
        <w:trPr>
          <w:gridAfter w:val="1"/>
          <w:wAfter w:w="23" w:type="dxa"/>
          <w:trHeight w:val="567"/>
        </w:trPr>
        <w:tc>
          <w:tcPr>
            <w:tcW w:w="1134" w:type="dxa"/>
            <w:shd w:val="clear" w:color="auto" w:fill="CCC0D9"/>
            <w:vAlign w:val="center"/>
          </w:tcPr>
          <w:p w:rsidR="00881451" w:rsidRPr="00881451" w:rsidRDefault="00881451" w:rsidP="00881451">
            <w:pPr>
              <w:jc w:val="center"/>
              <w:rPr>
                <w:rFonts w:ascii="游ゴシック Medium" w:eastAsia="游ゴシック Medium" w:hAnsi="游ゴシック Medium" w:cs="Times New Roman"/>
                <w:bCs/>
                <w:kern w:val="0"/>
                <w:szCs w:val="21"/>
              </w:rPr>
            </w:pPr>
            <w:r w:rsidRPr="00881451">
              <w:rPr>
                <w:rFonts w:ascii="游ゴシック Medium" w:eastAsia="游ゴシック Medium" w:hAnsi="游ゴシック Medium" w:cs="Times New Roman" w:hint="eastAsia"/>
                <w:bCs/>
                <w:kern w:val="0"/>
                <w:szCs w:val="21"/>
              </w:rPr>
              <w:t>事　業</w:t>
            </w:r>
          </w:p>
        </w:tc>
        <w:tc>
          <w:tcPr>
            <w:tcW w:w="8363" w:type="dxa"/>
            <w:shd w:val="clear" w:color="auto" w:fill="CCC0D9"/>
            <w:vAlign w:val="center"/>
          </w:tcPr>
          <w:p w:rsidR="00881451" w:rsidRPr="00881451" w:rsidRDefault="00881451" w:rsidP="00881451">
            <w:pPr>
              <w:jc w:val="center"/>
              <w:rPr>
                <w:rFonts w:ascii="游ゴシック Medium" w:eastAsia="游ゴシック Medium" w:hAnsi="游ゴシック Medium" w:cs="Times New Roman"/>
                <w:bCs/>
                <w:kern w:val="0"/>
                <w:szCs w:val="21"/>
              </w:rPr>
            </w:pPr>
            <w:r w:rsidRPr="00881451">
              <w:rPr>
                <w:rFonts w:ascii="游ゴシック Medium" w:eastAsia="游ゴシック Medium" w:hAnsi="游ゴシック Medium" w:cs="Times New Roman" w:hint="eastAsia"/>
                <w:bCs/>
                <w:kern w:val="0"/>
                <w:szCs w:val="21"/>
              </w:rPr>
              <w:t>行為の内容</w:t>
            </w:r>
          </w:p>
        </w:tc>
      </w:tr>
      <w:tr w:rsidR="00881451" w:rsidRPr="00881451" w:rsidTr="00014A54">
        <w:trPr>
          <w:gridAfter w:val="1"/>
          <w:wAfter w:w="23" w:type="dxa"/>
          <w:trHeight w:val="1996"/>
        </w:trPr>
        <w:tc>
          <w:tcPr>
            <w:tcW w:w="1134" w:type="dxa"/>
            <w:vAlign w:val="center"/>
          </w:tcPr>
          <w:p w:rsidR="00881451" w:rsidRPr="00881451" w:rsidRDefault="00881451" w:rsidP="00881451">
            <w:pPr>
              <w:jc w:val="cente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船　　内</w:t>
            </w:r>
          </w:p>
          <w:p w:rsidR="00881451" w:rsidRPr="00881451" w:rsidRDefault="00881451" w:rsidP="00881451">
            <w:pPr>
              <w:jc w:val="center"/>
              <w:rPr>
                <w:rFonts w:ascii="游ゴシック Medium" w:eastAsia="游ゴシック Medium" w:hAnsi="游ゴシック Medium" w:cs="Times New Roman"/>
                <w:b/>
                <w:kern w:val="0"/>
              </w:rPr>
            </w:pPr>
            <w:r w:rsidRPr="00881451">
              <w:rPr>
                <w:rFonts w:ascii="游ゴシック Medium" w:eastAsia="游ゴシック Medium" w:hAnsi="游ゴシック Medium" w:cs="Times New Roman" w:hint="eastAsia"/>
                <w:kern w:val="0"/>
              </w:rPr>
              <w:t>荷役事業</w:t>
            </w:r>
          </w:p>
        </w:tc>
        <w:tc>
          <w:tcPr>
            <w:tcW w:w="8363" w:type="dxa"/>
            <w:vAlign w:val="center"/>
          </w:tcPr>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  船舶への貨物の積込、又は船舶からの貨物の取卸</w:t>
            </w:r>
          </w:p>
          <w:p w:rsidR="00881451" w:rsidRPr="00881451" w:rsidRDefault="00881451" w:rsidP="00881451">
            <w:pPr>
              <w:ind w:leftChars="86" w:left="361" w:hangingChars="100" w:hanging="180"/>
              <w:rPr>
                <w:rFonts w:ascii="游ゴシック Medium" w:eastAsia="游ゴシック Medium" w:hAnsi="游ゴシック Medium" w:cs="Times New Roman"/>
                <w:kern w:val="0"/>
                <w:sz w:val="18"/>
                <w:szCs w:val="18"/>
              </w:rPr>
            </w:pPr>
            <w:r w:rsidRPr="00881451">
              <w:rPr>
                <w:rFonts w:ascii="游ゴシック Medium" w:eastAsia="游ゴシック Medium" w:hAnsi="游ゴシック Medium" w:cs="Times New Roman" w:hint="eastAsia"/>
                <w:kern w:val="0"/>
                <w:sz w:val="18"/>
                <w:szCs w:val="18"/>
              </w:rPr>
              <w:t>＊積荷の場合は、岸壁又は「はしけ」内の貨物に本船デリックのフックを掛けた時点から船倉内に積付けるまで、揚荷の場合は、船倉から貨物を取出し、岸壁又は「はしけ」内に卸しフックを外すまでの作業をいいます。</w:t>
            </w:r>
          </w:p>
          <w:p w:rsidR="00881451" w:rsidRPr="00881451" w:rsidRDefault="00881451" w:rsidP="00881451">
            <w:pPr>
              <w:ind w:leftChars="86" w:left="361" w:hangingChars="100" w:hanging="180"/>
              <w:rPr>
                <w:rFonts w:ascii="游ゴシック Medium" w:eastAsia="游ゴシック Medium" w:hAnsi="游ゴシック Medium" w:cs="Times New Roman"/>
                <w:kern w:val="0"/>
                <w:sz w:val="18"/>
                <w:szCs w:val="18"/>
              </w:rPr>
            </w:pPr>
            <w:r w:rsidRPr="00881451">
              <w:rPr>
                <w:rFonts w:ascii="游ゴシック Medium" w:eastAsia="游ゴシック Medium" w:hAnsi="游ゴシック Medium" w:cs="Times New Roman" w:hint="eastAsia"/>
                <w:color w:val="000000"/>
                <w:kern w:val="0"/>
                <w:sz w:val="18"/>
                <w:szCs w:val="18"/>
              </w:rPr>
              <w:t>＊</w:t>
            </w:r>
            <w:r w:rsidRPr="00881451">
              <w:rPr>
                <w:rFonts w:ascii="游ゴシック Medium" w:eastAsia="游ゴシック Medium" w:hAnsi="游ゴシック Medium" w:cs="ＭＳ ゴシック" w:hint="eastAsia"/>
                <w:color w:val="000000"/>
                <w:kern w:val="0"/>
                <w:sz w:val="18"/>
                <w:szCs w:val="18"/>
              </w:rPr>
              <w:t>５００トン未満の船舶からの貨物の取卸し又は船舶への積込みで、この船舶が岸壁、さん橋等に係留され、この船舶の揚貨装置を使用しない場合は「沿岸荷役」に含まれます。</w:t>
            </w:r>
          </w:p>
        </w:tc>
      </w:tr>
      <w:tr w:rsidR="00881451" w:rsidRPr="00881451" w:rsidTr="00014A54">
        <w:trPr>
          <w:gridAfter w:val="1"/>
          <w:wAfter w:w="23" w:type="dxa"/>
          <w:trHeight w:val="1044"/>
        </w:trPr>
        <w:tc>
          <w:tcPr>
            <w:tcW w:w="1134" w:type="dxa"/>
            <w:vAlign w:val="center"/>
          </w:tcPr>
          <w:p w:rsidR="00881451" w:rsidRPr="00881451" w:rsidRDefault="00881451" w:rsidP="00881451">
            <w:pPr>
              <w:jc w:val="cente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は し け</w:t>
            </w:r>
          </w:p>
          <w:p w:rsidR="00881451" w:rsidRPr="00881451" w:rsidRDefault="00881451" w:rsidP="00881451">
            <w:pPr>
              <w:jc w:val="center"/>
              <w:rPr>
                <w:rFonts w:ascii="游ゴシック Medium" w:eastAsia="游ゴシック Medium" w:hAnsi="游ゴシック Medium" w:cs="Times New Roman"/>
                <w:b/>
                <w:kern w:val="0"/>
              </w:rPr>
            </w:pPr>
            <w:r w:rsidRPr="00881451">
              <w:rPr>
                <w:rFonts w:ascii="游ゴシック Medium" w:eastAsia="游ゴシック Medium" w:hAnsi="游ゴシック Medium" w:cs="Times New Roman" w:hint="eastAsia"/>
                <w:kern w:val="0"/>
              </w:rPr>
              <w:t>運送事業</w:t>
            </w:r>
          </w:p>
        </w:tc>
        <w:tc>
          <w:tcPr>
            <w:tcW w:w="8363" w:type="dxa"/>
            <w:vAlign w:val="center"/>
          </w:tcPr>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①　貨物の船舶・「はしけ」による運送</w:t>
            </w:r>
          </w:p>
          <w:p w:rsidR="00881451" w:rsidRPr="00881451" w:rsidRDefault="00881451" w:rsidP="00881451">
            <w:pPr>
              <w:ind w:firstLineChars="100" w:firstLine="180"/>
              <w:rPr>
                <w:rFonts w:ascii="游ゴシック Medium" w:eastAsia="游ゴシック Medium" w:hAnsi="游ゴシック Medium" w:cs="Times New Roman"/>
                <w:kern w:val="0"/>
                <w:sz w:val="18"/>
              </w:rPr>
            </w:pPr>
            <w:r w:rsidRPr="00881451">
              <w:rPr>
                <w:rFonts w:ascii="游ゴシック Medium" w:eastAsia="游ゴシック Medium" w:hAnsi="游ゴシック Medium" w:cs="Times New Roman" w:hint="eastAsia"/>
                <w:kern w:val="0"/>
                <w:sz w:val="18"/>
              </w:rPr>
              <w:t>＊一定の航路に就航する旅客船による運送等は除きます。</w:t>
            </w:r>
          </w:p>
          <w:p w:rsidR="00881451" w:rsidRPr="00881451" w:rsidRDefault="00881451" w:rsidP="00881451">
            <w:pPr>
              <w:rPr>
                <w:rFonts w:ascii="游ゴシック Medium" w:eastAsia="游ゴシック Medium" w:hAnsi="游ゴシック Medium" w:cs="Times New Roman"/>
                <w:b/>
                <w:bCs/>
                <w:kern w:val="0"/>
              </w:rPr>
            </w:pPr>
            <w:r w:rsidRPr="00881451">
              <w:rPr>
                <w:rFonts w:ascii="游ゴシック Medium" w:eastAsia="游ゴシック Medium" w:hAnsi="游ゴシック Medium" w:cs="Times New Roman" w:hint="eastAsia"/>
                <w:kern w:val="0"/>
              </w:rPr>
              <w:t>②  引船による「はしけ」・「いかだ」のえい航</w:t>
            </w:r>
          </w:p>
        </w:tc>
      </w:tr>
      <w:tr w:rsidR="00881451" w:rsidRPr="00881451" w:rsidTr="00014A54">
        <w:trPr>
          <w:trHeight w:val="3453"/>
        </w:trPr>
        <w:tc>
          <w:tcPr>
            <w:tcW w:w="1134" w:type="dxa"/>
            <w:vAlign w:val="center"/>
          </w:tcPr>
          <w:p w:rsidR="00881451" w:rsidRPr="00881451" w:rsidRDefault="00881451" w:rsidP="00881451">
            <w:pPr>
              <w:jc w:val="cente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沿　　岸</w:t>
            </w:r>
          </w:p>
          <w:p w:rsidR="00881451" w:rsidRPr="00881451" w:rsidRDefault="00881451" w:rsidP="00881451">
            <w:pPr>
              <w:jc w:val="center"/>
              <w:rPr>
                <w:rFonts w:ascii="游ゴシック Medium" w:eastAsia="游ゴシック Medium" w:hAnsi="游ゴシック Medium" w:cs="Times New Roman"/>
                <w:b/>
                <w:kern w:val="0"/>
              </w:rPr>
            </w:pPr>
            <w:r w:rsidRPr="00881451">
              <w:rPr>
                <w:rFonts w:ascii="游ゴシック Medium" w:eastAsia="游ゴシック Medium" w:hAnsi="游ゴシック Medium" w:cs="Times New Roman" w:hint="eastAsia"/>
                <w:kern w:val="0"/>
              </w:rPr>
              <w:t>荷役作業</w:t>
            </w:r>
          </w:p>
        </w:tc>
        <w:tc>
          <w:tcPr>
            <w:tcW w:w="8386" w:type="dxa"/>
            <w:gridSpan w:val="2"/>
            <w:vAlign w:val="center"/>
          </w:tcPr>
          <w:p w:rsidR="00881451" w:rsidRPr="00881451" w:rsidRDefault="00881451" w:rsidP="00881451">
            <w:pPr>
              <w:numPr>
                <w:ilvl w:val="0"/>
                <w:numId w:val="1"/>
              </w:num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kern w:val="0"/>
              </w:rPr>
              <w:t xml:space="preserve"> </w:t>
            </w:r>
            <w:r w:rsidRPr="00881451">
              <w:rPr>
                <w:rFonts w:ascii="游ゴシック Medium" w:eastAsia="游ゴシック Medium" w:hAnsi="游ゴシック Medium" w:cs="Times New Roman" w:hint="eastAsia"/>
                <w:kern w:val="0"/>
              </w:rPr>
              <w:t>船舶・「はしけ」により運送された貨物の上屋、その他の荷さばき場への搬入</w:t>
            </w:r>
          </w:p>
          <w:p w:rsidR="00881451" w:rsidRPr="00881451" w:rsidRDefault="00881451" w:rsidP="00881451">
            <w:pPr>
              <w:ind w:firstLineChars="100" w:firstLine="180"/>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sz w:val="18"/>
              </w:rPr>
              <w:t>＊水面貯木場への搬入は除きます。</w:t>
            </w:r>
          </w:p>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②  船舶・「はしけ」により運送されるべき貨物の荷さばき場からの搬出</w:t>
            </w:r>
          </w:p>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③  これらの貨物の荷さばき場における荷さばき・保管</w:t>
            </w:r>
          </w:p>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④  貨物の「はしけ」からの取卸・「はしけ」への積込</w:t>
            </w:r>
          </w:p>
          <w:p w:rsidR="00881451" w:rsidRPr="00881451" w:rsidRDefault="00881451" w:rsidP="00881451">
            <w:pPr>
              <w:ind w:leftChars="86" w:left="361" w:hangingChars="100" w:hanging="180"/>
              <w:rPr>
                <w:rFonts w:ascii="游ゴシック Medium" w:eastAsia="游ゴシック Medium" w:hAnsi="游ゴシック Medium" w:cs="Times New Roman"/>
                <w:kern w:val="0"/>
                <w:sz w:val="18"/>
                <w:szCs w:val="18"/>
              </w:rPr>
            </w:pPr>
            <w:r w:rsidRPr="00881451">
              <w:rPr>
                <w:rFonts w:ascii="游ゴシック Medium" w:eastAsia="游ゴシック Medium" w:hAnsi="游ゴシック Medium" w:cs="Times New Roman" w:hint="eastAsia"/>
                <w:kern w:val="0"/>
                <w:sz w:val="18"/>
                <w:szCs w:val="18"/>
              </w:rPr>
              <w:t>＊積荷の場合は、上屋・荷さばき場で貨物を受け取ってから、これを搬出し岸壁の本船船側でフックをかけられる状態におくまで（「はしけ」の場合は、「はしけ」内に完全に積付けるまで）をいいます。</w:t>
            </w:r>
          </w:p>
          <w:p w:rsidR="00881451" w:rsidRPr="00881451" w:rsidRDefault="00881451" w:rsidP="00881451">
            <w:pPr>
              <w:ind w:leftChars="86" w:left="361" w:hangingChars="100" w:hanging="180"/>
              <w:rPr>
                <w:rFonts w:ascii="游ゴシック Medium" w:eastAsia="游ゴシック Medium" w:hAnsi="游ゴシック Medium" w:cs="Times New Roman"/>
                <w:kern w:val="0"/>
                <w:sz w:val="18"/>
                <w:szCs w:val="18"/>
              </w:rPr>
            </w:pPr>
            <w:r w:rsidRPr="00881451">
              <w:rPr>
                <w:rFonts w:ascii="游ゴシック Medium" w:eastAsia="游ゴシック Medium" w:hAnsi="游ゴシック Medium" w:cs="Times New Roman" w:hint="eastAsia"/>
                <w:kern w:val="0"/>
                <w:sz w:val="18"/>
                <w:szCs w:val="18"/>
              </w:rPr>
              <w:t>＊揚荷の場合は、本船から揚げられた貨物のフックが外されてから（「はしけ」の場合は、「はしけ」内の貨物に沿岸労働者が手をかけたときから）上屋、荷さばき場に搬入・荷さばきするまでの作業範囲をいいます。</w:t>
            </w:r>
          </w:p>
        </w:tc>
      </w:tr>
      <w:tr w:rsidR="00881451" w:rsidRPr="00881451" w:rsidTr="00014A54">
        <w:trPr>
          <w:trHeight w:val="2395"/>
        </w:trPr>
        <w:tc>
          <w:tcPr>
            <w:tcW w:w="1134" w:type="dxa"/>
            <w:vAlign w:val="center"/>
          </w:tcPr>
          <w:p w:rsidR="00881451" w:rsidRPr="00881451" w:rsidRDefault="00881451" w:rsidP="00881451">
            <w:pPr>
              <w:jc w:val="cente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い か だ</w:t>
            </w:r>
          </w:p>
          <w:p w:rsidR="00881451" w:rsidRPr="00881451" w:rsidRDefault="00881451" w:rsidP="00881451">
            <w:pPr>
              <w:jc w:val="center"/>
              <w:rPr>
                <w:rFonts w:ascii="游ゴシック Medium" w:eastAsia="游ゴシック Medium" w:hAnsi="游ゴシック Medium" w:cs="Times New Roman"/>
                <w:b/>
                <w:kern w:val="0"/>
              </w:rPr>
            </w:pPr>
            <w:r w:rsidRPr="00881451">
              <w:rPr>
                <w:rFonts w:ascii="游ゴシック Medium" w:eastAsia="游ゴシック Medium" w:hAnsi="游ゴシック Medium" w:cs="Times New Roman" w:hint="eastAsia"/>
                <w:kern w:val="0"/>
              </w:rPr>
              <w:t>運送事業</w:t>
            </w:r>
          </w:p>
        </w:tc>
        <w:tc>
          <w:tcPr>
            <w:tcW w:w="8386" w:type="dxa"/>
            <w:gridSpan w:val="2"/>
            <w:vAlign w:val="center"/>
          </w:tcPr>
          <w:p w:rsidR="00881451" w:rsidRPr="00881451" w:rsidRDefault="00881451" w:rsidP="00881451">
            <w:pPr>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①  「いかだ」に組んでする木材の運送</w:t>
            </w:r>
          </w:p>
          <w:p w:rsidR="00881451" w:rsidRPr="00881451" w:rsidRDefault="00881451" w:rsidP="00881451">
            <w:pPr>
              <w:ind w:left="210" w:hangingChars="100" w:hanging="210"/>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②  「いかだ」に組んで運送された木材、船舶・「はしけ」により運送された木材の水面貯木場への搬入</w:t>
            </w:r>
          </w:p>
          <w:p w:rsidR="00881451" w:rsidRPr="00881451" w:rsidRDefault="00881451" w:rsidP="00881451">
            <w:pPr>
              <w:ind w:left="210" w:hangingChars="100" w:hanging="210"/>
              <w:rPr>
                <w:rFonts w:ascii="游ゴシック Medium" w:eastAsia="游ゴシック Medium" w:hAnsi="游ゴシック Medium" w:cs="Times New Roman"/>
                <w:kern w:val="0"/>
              </w:rPr>
            </w:pPr>
            <w:r w:rsidRPr="00881451">
              <w:rPr>
                <w:rFonts w:ascii="游ゴシック Medium" w:eastAsia="游ゴシック Medium" w:hAnsi="游ゴシック Medium" w:cs="Times New Roman" w:hint="eastAsia"/>
                <w:kern w:val="0"/>
              </w:rPr>
              <w:t>③  「いかだ」に組んで運送されるべき木材、船舶・「はしけ」により運送されるべき木材の水面貯木場からの搬出</w:t>
            </w:r>
          </w:p>
          <w:p w:rsidR="00881451" w:rsidRPr="00881451" w:rsidRDefault="00881451" w:rsidP="00881451">
            <w:pPr>
              <w:rPr>
                <w:rFonts w:ascii="游ゴシック Medium" w:eastAsia="游ゴシック Medium" w:hAnsi="游ゴシック Medium" w:cs="Times New Roman"/>
                <w:b/>
                <w:bCs/>
                <w:kern w:val="0"/>
              </w:rPr>
            </w:pPr>
            <w:r w:rsidRPr="00881451">
              <w:rPr>
                <w:rFonts w:ascii="游ゴシック Medium" w:eastAsia="游ゴシック Medium" w:hAnsi="游ゴシック Medium" w:cs="Times New Roman" w:hint="eastAsia"/>
                <w:kern w:val="0"/>
              </w:rPr>
              <w:t>④  これらの木材の水面貯木場における荷さばき・保管</w:t>
            </w:r>
          </w:p>
        </w:tc>
      </w:tr>
    </w:tbl>
    <w:p w:rsidR="00881451" w:rsidRPr="00881451" w:rsidRDefault="00881451" w:rsidP="00881451">
      <w:pPr>
        <w:rPr>
          <w:rFonts w:ascii="HG丸ｺﾞｼｯｸM-PRO" w:eastAsia="HG丸ｺﾞｼｯｸM-PRO" w:hAnsi="HG丸ｺﾞｼｯｸM-PRO" w:cs="ＭＳ ゴシック"/>
          <w:bCs/>
          <w:color w:val="000000"/>
          <w:kern w:val="0"/>
          <w:sz w:val="28"/>
          <w:szCs w:val="28"/>
        </w:rPr>
      </w:pPr>
    </w:p>
    <w:p w:rsidR="0087019F" w:rsidRPr="00881451" w:rsidRDefault="00881451">
      <w:pPr>
        <w:rPr>
          <w:rFonts w:hint="eastAsia"/>
        </w:rPr>
      </w:pPr>
      <w:r>
        <w:rPr>
          <w:rFonts w:hint="eastAsia"/>
        </w:rPr>
        <w:t xml:space="preserve">　　　　　　　　　　　　　　　　　　　　　　　－３－</w:t>
      </w:r>
      <w:bookmarkStart w:id="0" w:name="_GoBack"/>
      <w:bookmarkEnd w:id="0"/>
    </w:p>
    <w:sectPr w:rsidR="0087019F" w:rsidRPr="00881451" w:rsidSect="008814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51" w:rsidRDefault="00881451" w:rsidP="00881451">
      <w:r>
        <w:separator/>
      </w:r>
    </w:p>
  </w:endnote>
  <w:endnote w:type="continuationSeparator" w:id="0">
    <w:p w:rsidR="00881451" w:rsidRDefault="00881451" w:rsidP="008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51" w:rsidRDefault="00881451" w:rsidP="00881451">
      <w:r>
        <w:separator/>
      </w:r>
    </w:p>
  </w:footnote>
  <w:footnote w:type="continuationSeparator" w:id="0">
    <w:p w:rsidR="00881451" w:rsidRDefault="00881451" w:rsidP="0088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05B"/>
    <w:multiLevelType w:val="hybridMultilevel"/>
    <w:tmpl w:val="3C9A5206"/>
    <w:lvl w:ilvl="0" w:tplc="BA2A4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51"/>
    <w:rsid w:val="0087019F"/>
    <w:rsid w:val="0088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2D718"/>
  <w15:chartTrackingRefBased/>
  <w15:docId w15:val="{48AB4C6C-2B98-4965-8CB3-BFE6622F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814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8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850</Characters>
  <Application>Microsoft Office Word</Application>
  <DocSecurity>0</DocSecurity>
  <Lines>7</Lines>
  <Paragraphs>1</Paragraphs>
  <ScaleCrop>false</ScaleCrop>
  <Company>厚生労働省職業安定局</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2024-06-25T10:31:00Z</dcterms:created>
  <dcterms:modified xsi:type="dcterms:W3CDTF">2024-06-25T10:35:00Z</dcterms:modified>
</cp:coreProperties>
</file>