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74363" w14:textId="56454139" w:rsidR="000E2445" w:rsidRPr="008F0F8D" w:rsidRDefault="000E2445" w:rsidP="000E2445">
      <w:pPr>
        <w:jc w:val="center"/>
        <w:rPr>
          <w:rFonts w:hAnsi="ＭＳ ゴシック"/>
          <w:b/>
          <w:szCs w:val="24"/>
        </w:rPr>
      </w:pPr>
      <w:r w:rsidRPr="008F0F8D">
        <w:rPr>
          <w:rFonts w:hAnsi="ＭＳ ゴシック" w:hint="eastAsia"/>
          <w:b/>
          <w:szCs w:val="24"/>
        </w:rPr>
        <w:t>派遣労働者の</w:t>
      </w:r>
      <w:r w:rsidR="00F268F8">
        <w:rPr>
          <w:rFonts w:hAnsi="ＭＳ ゴシック" w:hint="eastAsia"/>
          <w:b/>
          <w:szCs w:val="24"/>
        </w:rPr>
        <w:t>同一労働同一賃金</w:t>
      </w:r>
      <w:r w:rsidRPr="008F0F8D">
        <w:rPr>
          <w:rFonts w:hAnsi="ＭＳ ゴシック" w:hint="eastAsia"/>
          <w:b/>
          <w:szCs w:val="24"/>
        </w:rPr>
        <w:t>に係る自主点検表</w:t>
      </w:r>
    </w:p>
    <w:p w14:paraId="5450F27F" w14:textId="568A3238" w:rsidR="000E2445" w:rsidRPr="008F0F8D" w:rsidRDefault="000E2445" w:rsidP="000E2445">
      <w:pPr>
        <w:jc w:val="center"/>
        <w:rPr>
          <w:rFonts w:hAnsi="ＭＳ ゴシック"/>
          <w:b/>
          <w:szCs w:val="24"/>
        </w:rPr>
      </w:pPr>
      <w:r w:rsidRPr="008F0F8D">
        <w:rPr>
          <w:rFonts w:hAnsi="ＭＳ ゴシック" w:hint="eastAsia"/>
          <w:b/>
          <w:szCs w:val="24"/>
        </w:rPr>
        <w:t>（派遣</w:t>
      </w:r>
      <w:r w:rsidR="007F4905">
        <w:rPr>
          <w:rFonts w:hAnsi="ＭＳ ゴシック" w:hint="eastAsia"/>
          <w:b/>
          <w:szCs w:val="24"/>
        </w:rPr>
        <w:t>先</w:t>
      </w:r>
      <w:r w:rsidRPr="008F0F8D">
        <w:rPr>
          <w:rFonts w:hAnsi="ＭＳ ゴシック" w:hint="eastAsia"/>
          <w:b/>
          <w:szCs w:val="24"/>
        </w:rPr>
        <w:t>用）</w:t>
      </w:r>
    </w:p>
    <w:p w14:paraId="4073E18E" w14:textId="77777777" w:rsidR="00E33EAE" w:rsidRDefault="00E33EAE">
      <w:pPr>
        <w:rPr>
          <w:rFonts w:hAnsi="ＭＳ ゴシック"/>
          <w:szCs w:val="24"/>
        </w:rPr>
      </w:pPr>
    </w:p>
    <w:p w14:paraId="38A0E23F" w14:textId="77777777" w:rsidR="005A5382" w:rsidRDefault="005A5382">
      <w:pPr>
        <w:rPr>
          <w:rFonts w:hAnsi="ＭＳ ゴシック"/>
          <w:szCs w:val="24"/>
        </w:rPr>
      </w:pPr>
    </w:p>
    <w:p w14:paraId="251F650F" w14:textId="10CEEC0F" w:rsidR="00C51C21" w:rsidRDefault="00E33EAE">
      <w:pPr>
        <w:rPr>
          <w:rFonts w:hAnsi="ＭＳ ゴシック"/>
          <w:szCs w:val="24"/>
        </w:rPr>
      </w:pPr>
      <w:r>
        <w:rPr>
          <w:rFonts w:hAnsi="ＭＳ ゴシック" w:hint="eastAsia"/>
          <w:szCs w:val="24"/>
        </w:rPr>
        <w:t xml:space="preserve">　本自主点検表については、</w:t>
      </w:r>
      <w:r w:rsidR="006B4675">
        <w:rPr>
          <w:rFonts w:hAnsi="ＭＳ ゴシック" w:hint="eastAsia"/>
          <w:szCs w:val="24"/>
        </w:rPr>
        <w:t>労働者派遣法における</w:t>
      </w:r>
      <w:r w:rsidR="00825F24">
        <w:rPr>
          <w:rFonts w:hAnsi="ＭＳ ゴシック" w:hint="eastAsia"/>
          <w:szCs w:val="24"/>
        </w:rPr>
        <w:t>派遣労働者の</w:t>
      </w:r>
      <w:r>
        <w:rPr>
          <w:rFonts w:hAnsi="ＭＳ ゴシック" w:hint="eastAsia"/>
          <w:szCs w:val="24"/>
        </w:rPr>
        <w:t>同一労働同一賃金に関して</w:t>
      </w:r>
      <w:r w:rsidR="007F4905">
        <w:rPr>
          <w:rFonts w:hAnsi="ＭＳ ゴシック" w:hint="eastAsia"/>
          <w:szCs w:val="24"/>
        </w:rPr>
        <w:t>、</w:t>
      </w:r>
      <w:r w:rsidR="007F4905" w:rsidRPr="00C51C21">
        <w:rPr>
          <w:rFonts w:hAnsi="ＭＳ ゴシック" w:hint="eastAsia"/>
          <w:b/>
          <w:color w:val="FF0000"/>
          <w:szCs w:val="24"/>
          <w:u w:val="single"/>
        </w:rPr>
        <w:t>派遣先において</w:t>
      </w:r>
      <w:r w:rsidRPr="00C51C21">
        <w:rPr>
          <w:rFonts w:hAnsi="ＭＳ ゴシック" w:hint="eastAsia"/>
          <w:b/>
          <w:color w:val="FF0000"/>
          <w:szCs w:val="24"/>
          <w:u w:val="single"/>
        </w:rPr>
        <w:t>遵守</w:t>
      </w:r>
      <w:r>
        <w:rPr>
          <w:rFonts w:hAnsi="ＭＳ ゴシック" w:hint="eastAsia"/>
          <w:szCs w:val="24"/>
        </w:rPr>
        <w:t>していただく内容を</w:t>
      </w:r>
      <w:r w:rsidR="00F268F8">
        <w:rPr>
          <w:rFonts w:hAnsi="ＭＳ ゴシック" w:hint="eastAsia"/>
          <w:szCs w:val="24"/>
        </w:rPr>
        <w:t>簡易に点検していただけるよう</w:t>
      </w:r>
      <w:r>
        <w:rPr>
          <w:rFonts w:hAnsi="ＭＳ ゴシック" w:hint="eastAsia"/>
          <w:szCs w:val="24"/>
        </w:rPr>
        <w:t>まとめたものです。</w:t>
      </w:r>
    </w:p>
    <w:p w14:paraId="7DF76AC9" w14:textId="7550F7E2" w:rsidR="007F4905" w:rsidRPr="00917244" w:rsidRDefault="00E33EAE" w:rsidP="00C51C21">
      <w:pPr>
        <w:ind w:firstLineChars="100" w:firstLine="227"/>
        <w:rPr>
          <w:rFonts w:hAnsi="ＭＳ ゴシック"/>
          <w:szCs w:val="24"/>
          <w:u w:val="single"/>
        </w:rPr>
      </w:pPr>
      <w:r w:rsidRPr="00917244">
        <w:rPr>
          <w:rFonts w:hAnsi="ＭＳ ゴシック" w:hint="eastAsia"/>
          <w:szCs w:val="24"/>
          <w:u w:val="single"/>
        </w:rPr>
        <w:t>本</w:t>
      </w:r>
      <w:r w:rsidR="00F268F8" w:rsidRPr="00917244">
        <w:rPr>
          <w:rFonts w:hAnsi="ＭＳ ゴシック" w:hint="eastAsia"/>
          <w:szCs w:val="24"/>
          <w:u w:val="single"/>
        </w:rPr>
        <w:t>自主</w:t>
      </w:r>
      <w:r w:rsidRPr="00917244">
        <w:rPr>
          <w:rFonts w:hAnsi="ＭＳ ゴシック" w:hint="eastAsia"/>
          <w:szCs w:val="24"/>
          <w:u w:val="single"/>
        </w:rPr>
        <w:t>点検表を積極的に活用し、適切な</w:t>
      </w:r>
      <w:r w:rsidR="007F4905" w:rsidRPr="00917244">
        <w:rPr>
          <w:rFonts w:hAnsi="ＭＳ ゴシック" w:hint="eastAsia"/>
          <w:szCs w:val="24"/>
          <w:u w:val="single"/>
        </w:rPr>
        <w:t>労働者派遣事業の実施に資するとともに</w:t>
      </w:r>
      <w:r w:rsidRPr="00917244">
        <w:rPr>
          <w:rFonts w:hAnsi="ＭＳ ゴシック" w:hint="eastAsia"/>
          <w:szCs w:val="24"/>
          <w:u w:val="single"/>
        </w:rPr>
        <w:t>、派遣労働者の待遇改善につなげていただくようお願いいたします。</w:t>
      </w:r>
    </w:p>
    <w:p w14:paraId="1CB3C1E2" w14:textId="626F5F2C" w:rsidR="00E33EAE" w:rsidRDefault="00E33EAE">
      <w:pPr>
        <w:rPr>
          <w:rFonts w:hAnsi="ＭＳ ゴシック"/>
          <w:szCs w:val="24"/>
        </w:rPr>
      </w:pPr>
      <w:r>
        <w:rPr>
          <w:rFonts w:hAnsi="ＭＳ ゴシック" w:hint="eastAsia"/>
          <w:szCs w:val="24"/>
        </w:rPr>
        <w:t xml:space="preserve">　なお、本</w:t>
      </w:r>
      <w:r w:rsidR="00F268F8">
        <w:rPr>
          <w:rFonts w:hAnsi="ＭＳ ゴシック" w:hint="eastAsia"/>
          <w:szCs w:val="24"/>
        </w:rPr>
        <w:t>自主</w:t>
      </w:r>
      <w:r>
        <w:rPr>
          <w:rFonts w:hAnsi="ＭＳ ゴシック" w:hint="eastAsia"/>
          <w:szCs w:val="24"/>
        </w:rPr>
        <w:t>点検表の内容は、</w:t>
      </w:r>
      <w:r w:rsidR="00825F24">
        <w:rPr>
          <w:rFonts w:hAnsi="ＭＳ ゴシック" w:hint="eastAsia"/>
          <w:szCs w:val="24"/>
        </w:rPr>
        <w:t>派遣労働者の</w:t>
      </w:r>
      <w:r w:rsidR="008E59C9">
        <w:rPr>
          <w:rFonts w:hAnsi="ＭＳ ゴシック" w:hint="eastAsia"/>
          <w:szCs w:val="24"/>
        </w:rPr>
        <w:t>いわゆる</w:t>
      </w:r>
      <w:r w:rsidR="00F268F8">
        <w:rPr>
          <w:rFonts w:hAnsi="ＭＳ ゴシック" w:hint="eastAsia"/>
          <w:szCs w:val="24"/>
        </w:rPr>
        <w:t>同一労働同一</w:t>
      </w:r>
      <w:r w:rsidR="008E59C9">
        <w:rPr>
          <w:rFonts w:hAnsi="ＭＳ ゴシック" w:hint="eastAsia"/>
          <w:szCs w:val="24"/>
        </w:rPr>
        <w:t>賃金</w:t>
      </w:r>
      <w:r>
        <w:rPr>
          <w:rFonts w:hAnsi="ＭＳ ゴシック" w:hint="eastAsia"/>
          <w:szCs w:val="24"/>
        </w:rPr>
        <w:t>に関する主な</w:t>
      </w:r>
      <w:r w:rsidR="00573E80">
        <w:rPr>
          <w:rFonts w:hAnsi="ＭＳ ゴシック" w:hint="eastAsia"/>
          <w:szCs w:val="24"/>
        </w:rPr>
        <w:t>取扱い</w:t>
      </w:r>
      <w:r>
        <w:rPr>
          <w:rFonts w:hAnsi="ＭＳ ゴシック" w:hint="eastAsia"/>
          <w:szCs w:val="24"/>
        </w:rPr>
        <w:t>を記載したものであ</w:t>
      </w:r>
      <w:r w:rsidR="00573E80">
        <w:rPr>
          <w:rFonts w:hAnsi="ＭＳ ゴシック" w:hint="eastAsia"/>
          <w:szCs w:val="24"/>
        </w:rPr>
        <w:t>り、</w:t>
      </w:r>
      <w:r w:rsidR="00573E80" w:rsidRPr="005C793F">
        <w:rPr>
          <w:rFonts w:hAnsi="ＭＳ ゴシック" w:hint="eastAsia"/>
          <w:szCs w:val="24"/>
          <w:u w:val="single"/>
        </w:rPr>
        <w:t>すべての取扱いを網羅的に記載したものではない</w:t>
      </w:r>
      <w:r w:rsidR="00573E80">
        <w:rPr>
          <w:rFonts w:hAnsi="ＭＳ ゴシック" w:hint="eastAsia"/>
          <w:szCs w:val="24"/>
        </w:rPr>
        <w:t>ことにご</w:t>
      </w:r>
      <w:r>
        <w:rPr>
          <w:rFonts w:hAnsi="ＭＳ ゴシック" w:hint="eastAsia"/>
          <w:szCs w:val="24"/>
        </w:rPr>
        <w:t>留意ください。</w:t>
      </w:r>
    </w:p>
    <w:p w14:paraId="3721B612" w14:textId="21D010AA" w:rsidR="00E33EAE" w:rsidRDefault="00E33EAE" w:rsidP="00E02589">
      <w:pPr>
        <w:ind w:firstLineChars="100" w:firstLine="227"/>
        <w:rPr>
          <w:rFonts w:hAnsi="ＭＳ ゴシック"/>
          <w:szCs w:val="24"/>
        </w:rPr>
      </w:pPr>
    </w:p>
    <w:p w14:paraId="5C207EA4" w14:textId="77777777" w:rsidR="00E51F12" w:rsidRDefault="00E51F12">
      <w:pPr>
        <w:rPr>
          <w:rFonts w:hAnsi="ＭＳ ゴシック"/>
          <w:szCs w:val="24"/>
        </w:rPr>
      </w:pPr>
    </w:p>
    <w:p w14:paraId="34BF6204" w14:textId="77777777" w:rsidR="007F4905" w:rsidRPr="007F4905" w:rsidRDefault="007F4905">
      <w:pPr>
        <w:rPr>
          <w:rFonts w:hAnsi="ＭＳ ゴシック"/>
          <w:szCs w:val="24"/>
        </w:rPr>
      </w:pPr>
    </w:p>
    <w:p w14:paraId="35174025" w14:textId="5438FC89" w:rsidR="000E2445" w:rsidRPr="008F0F8D" w:rsidRDefault="007F4905" w:rsidP="008F0F8D">
      <w:pPr>
        <w:spacing w:line="440" w:lineRule="exact"/>
        <w:rPr>
          <w:rFonts w:ascii="メイリオ" w:eastAsia="メイリオ" w:hAnsi="メイリオ"/>
          <w:b/>
          <w:szCs w:val="24"/>
        </w:rPr>
      </w:pPr>
      <w:r>
        <w:rPr>
          <w:rFonts w:ascii="メイリオ" w:eastAsia="メイリオ" w:hAnsi="メイリオ" w:hint="eastAsia"/>
          <w:b/>
          <w:szCs w:val="24"/>
        </w:rPr>
        <w:t>《</w:t>
      </w:r>
      <w:r w:rsidR="00951F98" w:rsidRPr="008F0F8D">
        <w:rPr>
          <w:rFonts w:ascii="メイリオ" w:eastAsia="メイリオ" w:hAnsi="メイリオ" w:hint="eastAsia"/>
          <w:b/>
          <w:szCs w:val="24"/>
        </w:rPr>
        <w:t>比較対象労働者</w:t>
      </w:r>
      <w:r w:rsidR="00C51C21">
        <w:rPr>
          <w:rFonts w:ascii="メイリオ" w:eastAsia="メイリオ" w:hAnsi="メイリオ" w:hint="eastAsia"/>
          <w:b/>
          <w:szCs w:val="24"/>
        </w:rPr>
        <w:t>等</w:t>
      </w:r>
      <w:r w:rsidR="00951F98" w:rsidRPr="008F0F8D">
        <w:rPr>
          <w:rFonts w:ascii="メイリオ" w:eastAsia="メイリオ" w:hAnsi="メイリオ" w:hint="eastAsia"/>
          <w:b/>
          <w:szCs w:val="24"/>
        </w:rPr>
        <w:t>の</w:t>
      </w:r>
      <w:r w:rsidR="009705CA" w:rsidRPr="008F0F8D">
        <w:rPr>
          <w:rFonts w:ascii="メイリオ" w:eastAsia="メイリオ" w:hAnsi="メイリオ" w:hint="eastAsia"/>
          <w:b/>
          <w:szCs w:val="24"/>
        </w:rPr>
        <w:t>情報提供》</w:t>
      </w:r>
    </w:p>
    <w:p w14:paraId="580498C4" w14:textId="4A8329EE" w:rsidR="000E2445" w:rsidRDefault="007F4905" w:rsidP="008F0F8D">
      <w:pPr>
        <w:spacing w:line="440" w:lineRule="exact"/>
        <w:ind w:left="227" w:hangingChars="100" w:hanging="227"/>
        <w:rPr>
          <w:rFonts w:ascii="メイリオ" w:eastAsia="メイリオ" w:hAnsi="メイリオ"/>
          <w:szCs w:val="24"/>
        </w:rPr>
      </w:pPr>
      <w:r>
        <w:rPr>
          <w:rFonts w:ascii="メイリオ" w:eastAsia="メイリオ" w:hAnsi="メイリオ" w:hint="eastAsia"/>
          <w:szCs w:val="24"/>
        </w:rPr>
        <w:t>１　派遣元事業主に</w:t>
      </w:r>
      <w:r w:rsidR="00AF25A4" w:rsidRPr="008F0F8D">
        <w:rPr>
          <w:rFonts w:ascii="メイリオ" w:eastAsia="メイリオ" w:hAnsi="メイリオ" w:hint="eastAsia"/>
          <w:szCs w:val="24"/>
        </w:rPr>
        <w:t>、</w:t>
      </w:r>
      <w:r>
        <w:rPr>
          <w:rFonts w:ascii="メイリオ" w:eastAsia="メイリオ" w:hAnsi="メイリオ" w:hint="eastAsia"/>
          <w:b/>
          <w:color w:val="FF0000"/>
          <w:szCs w:val="24"/>
          <w:u w:val="single"/>
        </w:rPr>
        <w:t>比較対象労働者の待遇</w:t>
      </w:r>
      <w:r w:rsidR="00C51C21">
        <w:rPr>
          <w:rFonts w:ascii="メイリオ" w:eastAsia="メイリオ" w:hAnsi="メイリオ" w:hint="eastAsia"/>
          <w:b/>
          <w:color w:val="FF0000"/>
          <w:szCs w:val="24"/>
          <w:u w:val="single"/>
        </w:rPr>
        <w:t>等</w:t>
      </w:r>
      <w:r>
        <w:rPr>
          <w:rFonts w:ascii="メイリオ" w:eastAsia="メイリオ" w:hAnsi="メイリオ" w:hint="eastAsia"/>
          <w:b/>
          <w:color w:val="FF0000"/>
          <w:szCs w:val="24"/>
          <w:u w:val="single"/>
        </w:rPr>
        <w:t>に関する情報</w:t>
      </w:r>
      <w:r w:rsidR="00AA7EF8" w:rsidRPr="00AA7EF8">
        <w:rPr>
          <w:rFonts w:ascii="メイリオ" w:eastAsia="メイリオ" w:hAnsi="メイリオ" w:hint="eastAsia"/>
          <w:szCs w:val="24"/>
        </w:rPr>
        <w:t>（※）</w:t>
      </w:r>
      <w:r w:rsidR="00AF25A4" w:rsidRPr="008F0F8D">
        <w:rPr>
          <w:rFonts w:ascii="メイリオ" w:eastAsia="メイリオ" w:hAnsi="メイリオ" w:hint="eastAsia"/>
          <w:szCs w:val="24"/>
        </w:rPr>
        <w:t>を</w:t>
      </w:r>
      <w:r w:rsidR="000C5136" w:rsidRPr="008F0F8D">
        <w:rPr>
          <w:rFonts w:ascii="メイリオ" w:eastAsia="メイリオ" w:hAnsi="メイリオ" w:hint="eastAsia"/>
          <w:szCs w:val="24"/>
        </w:rPr>
        <w:t>書面の交付</w:t>
      </w:r>
      <w:r w:rsidR="00FF503C">
        <w:rPr>
          <w:rFonts w:ascii="メイリオ" w:eastAsia="メイリオ" w:hAnsi="メイリオ" w:hint="eastAsia"/>
          <w:szCs w:val="24"/>
        </w:rPr>
        <w:t>、ＦＡＸ</w:t>
      </w:r>
      <w:r w:rsidR="000C5136" w:rsidRPr="008F0F8D">
        <w:rPr>
          <w:rFonts w:ascii="メイリオ" w:eastAsia="メイリオ" w:hAnsi="メイリオ" w:hint="eastAsia"/>
          <w:szCs w:val="24"/>
        </w:rPr>
        <w:t>、電子メール等により</w:t>
      </w:r>
      <w:r>
        <w:rPr>
          <w:rFonts w:ascii="メイリオ" w:eastAsia="メイリオ" w:hAnsi="メイリオ" w:hint="eastAsia"/>
          <w:szCs w:val="24"/>
        </w:rPr>
        <w:t>、提供し</w:t>
      </w:r>
      <w:r w:rsidR="00AF25A4" w:rsidRPr="008F0F8D">
        <w:rPr>
          <w:rFonts w:ascii="メイリオ" w:eastAsia="メイリオ" w:hAnsi="メイリオ" w:hint="eastAsia"/>
          <w:szCs w:val="24"/>
        </w:rPr>
        <w:t>てい</w:t>
      </w:r>
      <w:r w:rsidR="00DF2839" w:rsidRPr="008F0F8D">
        <w:rPr>
          <w:rFonts w:ascii="メイリオ" w:eastAsia="メイリオ" w:hAnsi="メイリオ" w:hint="eastAsia"/>
          <w:szCs w:val="24"/>
        </w:rPr>
        <w:t>ますか？</w:t>
      </w:r>
      <w:r w:rsidR="00411989">
        <w:rPr>
          <w:rFonts w:ascii="メイリオ" w:eastAsia="メイリオ" w:hAnsi="メイリオ" w:hint="eastAsia"/>
          <w:szCs w:val="24"/>
        </w:rPr>
        <w:t>（労働者派遣法第26条第７項）</w:t>
      </w:r>
    </w:p>
    <w:p w14:paraId="24EC6C26" w14:textId="26148FEB" w:rsidR="00AA7EF8" w:rsidRDefault="00AA7EF8" w:rsidP="00AA7EF8">
      <w:pPr>
        <w:spacing w:line="440" w:lineRule="exact"/>
        <w:ind w:leftChars="100" w:left="424" w:hangingChars="100" w:hanging="197"/>
        <w:rPr>
          <w:rFonts w:hAnsi="ＭＳ ゴシック"/>
          <w:sz w:val="21"/>
          <w:szCs w:val="24"/>
        </w:rPr>
      </w:pPr>
      <w:r w:rsidRPr="00AA7EF8">
        <w:rPr>
          <w:rFonts w:hAnsi="ＭＳ ゴシック" w:hint="eastAsia"/>
          <w:sz w:val="21"/>
          <w:szCs w:val="24"/>
        </w:rPr>
        <w:t>※　労使協定方式の場合は、比較対象労働者の選定は不要で</w:t>
      </w:r>
      <w:r w:rsidR="00F02D07">
        <w:rPr>
          <w:rFonts w:hAnsi="ＭＳ ゴシック" w:hint="eastAsia"/>
          <w:sz w:val="21"/>
          <w:szCs w:val="24"/>
        </w:rPr>
        <w:t>す</w:t>
      </w:r>
      <w:r w:rsidRPr="00AA7EF8">
        <w:rPr>
          <w:rFonts w:hAnsi="ＭＳ ゴシック" w:hint="eastAsia"/>
          <w:sz w:val="21"/>
          <w:szCs w:val="24"/>
        </w:rPr>
        <w:t>が、</w:t>
      </w:r>
      <w:r w:rsidRPr="00382349">
        <w:rPr>
          <w:rFonts w:hAnsi="ＭＳ ゴシック" w:hint="eastAsia"/>
          <w:sz w:val="21"/>
          <w:szCs w:val="24"/>
          <w:u w:val="single"/>
        </w:rPr>
        <w:t>法第</w:t>
      </w:r>
      <w:r w:rsidRPr="00382349">
        <w:rPr>
          <w:rFonts w:hAnsi="ＭＳ ゴシック"/>
          <w:sz w:val="21"/>
          <w:szCs w:val="24"/>
          <w:u w:val="single"/>
        </w:rPr>
        <w:t>40条第２項の教育訓練</w:t>
      </w:r>
      <w:r w:rsidRPr="00AA7EF8">
        <w:rPr>
          <w:rFonts w:hAnsi="ＭＳ ゴシック" w:hint="eastAsia"/>
          <w:sz w:val="21"/>
          <w:szCs w:val="24"/>
        </w:rPr>
        <w:t>及び</w:t>
      </w:r>
      <w:r w:rsidRPr="00382349">
        <w:rPr>
          <w:rFonts w:hAnsi="ＭＳ ゴシック" w:hint="eastAsia"/>
          <w:sz w:val="21"/>
          <w:szCs w:val="24"/>
          <w:u w:val="single"/>
        </w:rPr>
        <w:t>法第</w:t>
      </w:r>
      <w:r w:rsidRPr="00382349">
        <w:rPr>
          <w:rFonts w:hAnsi="ＭＳ ゴシック"/>
          <w:sz w:val="21"/>
          <w:szCs w:val="24"/>
          <w:u w:val="single"/>
        </w:rPr>
        <w:t>40条第３項の福利厚生施設</w:t>
      </w:r>
      <w:r w:rsidRPr="00AA7EF8">
        <w:rPr>
          <w:rFonts w:hAnsi="ＭＳ ゴシック" w:hint="eastAsia"/>
          <w:sz w:val="21"/>
          <w:szCs w:val="24"/>
        </w:rPr>
        <w:t>の待遇情報の提供が必要</w:t>
      </w:r>
      <w:r w:rsidR="00B15579">
        <w:rPr>
          <w:rFonts w:hAnsi="ＭＳ ゴシック" w:hint="eastAsia"/>
          <w:sz w:val="21"/>
          <w:szCs w:val="24"/>
        </w:rPr>
        <w:t>です</w:t>
      </w:r>
      <w:r w:rsidRPr="00AA7EF8">
        <w:rPr>
          <w:rFonts w:hAnsi="ＭＳ ゴシック" w:hint="eastAsia"/>
          <w:sz w:val="21"/>
          <w:szCs w:val="24"/>
        </w:rPr>
        <w:t>。</w:t>
      </w:r>
    </w:p>
    <w:p w14:paraId="2384A49F" w14:textId="37586B7F" w:rsidR="005D5036" w:rsidRDefault="005D5036" w:rsidP="00AA7EF8">
      <w:pPr>
        <w:spacing w:line="440" w:lineRule="exact"/>
        <w:ind w:leftChars="100" w:left="424" w:hangingChars="100" w:hanging="197"/>
        <w:rPr>
          <w:rFonts w:hAnsi="ＭＳ ゴシック"/>
          <w:sz w:val="21"/>
          <w:szCs w:val="24"/>
        </w:rPr>
      </w:pPr>
      <w:r>
        <w:rPr>
          <w:rFonts w:hAnsi="ＭＳ ゴシック" w:hint="eastAsia"/>
          <w:sz w:val="21"/>
          <w:szCs w:val="24"/>
        </w:rPr>
        <w:t xml:space="preserve">※　</w:t>
      </w:r>
      <w:r w:rsidR="00B15579">
        <w:rPr>
          <w:rFonts w:hAnsi="ＭＳ ゴシック" w:hint="eastAsia"/>
          <w:sz w:val="21"/>
          <w:szCs w:val="24"/>
        </w:rPr>
        <w:t>適切な</w:t>
      </w:r>
      <w:r>
        <w:rPr>
          <w:rFonts w:hAnsi="ＭＳ ゴシック" w:hint="eastAsia"/>
          <w:sz w:val="21"/>
          <w:szCs w:val="24"/>
        </w:rPr>
        <w:t>労使協定</w:t>
      </w:r>
      <w:r w:rsidR="00B15579">
        <w:rPr>
          <w:rFonts w:hAnsi="ＭＳ ゴシック" w:hint="eastAsia"/>
          <w:sz w:val="21"/>
          <w:szCs w:val="24"/>
        </w:rPr>
        <w:t>でない場合は、当該</w:t>
      </w:r>
      <w:r>
        <w:rPr>
          <w:rFonts w:hAnsi="ＭＳ ゴシック" w:hint="eastAsia"/>
          <w:sz w:val="21"/>
          <w:szCs w:val="24"/>
        </w:rPr>
        <w:t>労使協定</w:t>
      </w:r>
      <w:r w:rsidR="00B15579">
        <w:rPr>
          <w:rFonts w:hAnsi="ＭＳ ゴシック" w:hint="eastAsia"/>
          <w:sz w:val="21"/>
          <w:szCs w:val="24"/>
        </w:rPr>
        <w:t>が適用されず、</w:t>
      </w:r>
      <w:r w:rsidRPr="005B7235">
        <w:rPr>
          <w:rFonts w:hAnsi="ＭＳ ゴシック" w:hint="eastAsia"/>
          <w:sz w:val="21"/>
          <w:szCs w:val="24"/>
        </w:rPr>
        <w:t>派遣先均等・均衡方式</w:t>
      </w:r>
      <w:r w:rsidR="00B15579">
        <w:rPr>
          <w:rFonts w:hAnsi="ＭＳ ゴシック" w:hint="eastAsia"/>
          <w:sz w:val="21"/>
          <w:szCs w:val="24"/>
        </w:rPr>
        <w:t>が適用される場合があります。その</w:t>
      </w:r>
      <w:r>
        <w:rPr>
          <w:rFonts w:hAnsi="ＭＳ ゴシック" w:hint="eastAsia"/>
          <w:sz w:val="21"/>
          <w:szCs w:val="24"/>
        </w:rPr>
        <w:t>場合は、当該規定に基づき、比較対象労働者の待遇等に関する情報提供が必要になります。</w:t>
      </w:r>
    </w:p>
    <w:p w14:paraId="4365826D" w14:textId="7D5A6CC5" w:rsidR="00951F98" w:rsidRPr="008F0F8D" w:rsidRDefault="007F4905" w:rsidP="00951F98">
      <w:pPr>
        <w:spacing w:line="400" w:lineRule="exact"/>
        <w:ind w:left="936" w:hangingChars="413" w:hanging="936"/>
        <w:jc w:val="right"/>
        <w:rPr>
          <w:rFonts w:ascii="メイリオ" w:eastAsia="メイリオ" w:hAnsi="メイリオ" w:cs="Times New Roman"/>
          <w:b/>
          <w:szCs w:val="24"/>
          <w:u w:val="single"/>
        </w:rPr>
      </w:pPr>
      <w:r>
        <w:rPr>
          <w:rFonts w:ascii="メイリオ" w:eastAsia="メイリオ" w:hAnsi="メイリオ" w:cs="Times New Roman" w:hint="eastAsia"/>
          <w:b/>
          <w:szCs w:val="24"/>
          <w:u w:val="single"/>
        </w:rPr>
        <w:t>□提供し</w:t>
      </w:r>
      <w:r w:rsidR="00951F98" w:rsidRPr="008F0F8D">
        <w:rPr>
          <w:rFonts w:ascii="メイリオ" w:eastAsia="メイリオ" w:hAnsi="メイリオ" w:cs="Times New Roman" w:hint="eastAsia"/>
          <w:b/>
          <w:szCs w:val="24"/>
          <w:u w:val="single"/>
        </w:rPr>
        <w:t>ている　　□</w:t>
      </w:r>
      <w:r>
        <w:rPr>
          <w:rFonts w:ascii="メイリオ" w:eastAsia="メイリオ" w:hAnsi="メイリオ" w:cs="Times New Roman" w:hint="eastAsia"/>
          <w:b/>
          <w:szCs w:val="24"/>
          <w:u w:val="single"/>
        </w:rPr>
        <w:t>提供して</w:t>
      </w:r>
      <w:r w:rsidR="00951F98" w:rsidRPr="008F0F8D">
        <w:rPr>
          <w:rFonts w:ascii="メイリオ" w:eastAsia="メイリオ" w:hAnsi="メイリオ" w:cs="Times New Roman" w:hint="eastAsia"/>
          <w:b/>
          <w:szCs w:val="24"/>
          <w:u w:val="single"/>
        </w:rPr>
        <w:t>いない</w:t>
      </w:r>
    </w:p>
    <w:p w14:paraId="284966AB" w14:textId="77777777" w:rsidR="00951F98" w:rsidRDefault="00951F98" w:rsidP="008474F1">
      <w:pPr>
        <w:ind w:left="453" w:hangingChars="200" w:hanging="453"/>
        <w:rPr>
          <w:rFonts w:hAnsi="ＭＳ ゴシック"/>
          <w:szCs w:val="24"/>
        </w:rPr>
      </w:pPr>
    </w:p>
    <w:tbl>
      <w:tblPr>
        <w:tblStyle w:val="a5"/>
        <w:tblW w:w="0" w:type="auto"/>
        <w:tblInd w:w="453" w:type="dxa"/>
        <w:shd w:val="clear" w:color="auto" w:fill="FFF2CC" w:themeFill="accent4" w:themeFillTint="33"/>
        <w:tblLook w:val="04A0" w:firstRow="1" w:lastRow="0" w:firstColumn="1" w:lastColumn="0" w:noHBand="0" w:noVBand="1"/>
      </w:tblPr>
      <w:tblGrid>
        <w:gridCol w:w="8607"/>
      </w:tblGrid>
      <w:tr w:rsidR="00951F98" w14:paraId="0CD5C669" w14:textId="77777777" w:rsidTr="008F0F8D">
        <w:tc>
          <w:tcPr>
            <w:tcW w:w="9060" w:type="dxa"/>
            <w:shd w:val="clear" w:color="auto" w:fill="FFF2CC" w:themeFill="accent4" w:themeFillTint="33"/>
          </w:tcPr>
          <w:p w14:paraId="22F46426" w14:textId="293D007E" w:rsidR="00B4215E" w:rsidRDefault="00B4215E" w:rsidP="00951F98">
            <w:pPr>
              <w:ind w:left="455" w:hangingChars="200" w:hanging="455"/>
              <w:rPr>
                <w:rFonts w:hAnsi="ＭＳ ゴシック"/>
                <w:b/>
                <w:szCs w:val="24"/>
              </w:rPr>
            </w:pPr>
            <w:r w:rsidRPr="00917E36">
              <w:rPr>
                <w:rFonts w:hAnsi="ＭＳ ゴシック" w:hint="eastAsia"/>
                <w:b/>
                <w:szCs w:val="24"/>
              </w:rPr>
              <w:t>【点検のPoint】</w:t>
            </w:r>
          </w:p>
          <w:p w14:paraId="11E919EE" w14:textId="77777777" w:rsidR="00C51C21" w:rsidRDefault="00951F98" w:rsidP="00951F98">
            <w:pPr>
              <w:ind w:left="453" w:hangingChars="200" w:hanging="453"/>
              <w:rPr>
                <w:rFonts w:hAnsi="ＭＳ ゴシック"/>
                <w:szCs w:val="24"/>
              </w:rPr>
            </w:pPr>
            <w:r>
              <w:rPr>
                <w:rFonts w:hAnsi="ＭＳ ゴシック" w:hint="eastAsia"/>
                <w:szCs w:val="24"/>
              </w:rPr>
              <w:t xml:space="preserve">　□　</w:t>
            </w:r>
            <w:r w:rsidRPr="008F0F8D">
              <w:rPr>
                <w:rFonts w:hAnsi="ＭＳ ゴシック" w:hint="eastAsia"/>
                <w:b/>
                <w:color w:val="FF0000"/>
                <w:szCs w:val="24"/>
                <w:u w:val="single"/>
              </w:rPr>
              <w:t>情報提供の内容</w:t>
            </w:r>
            <w:r>
              <w:rPr>
                <w:rFonts w:hAnsi="ＭＳ ゴシック" w:hint="eastAsia"/>
                <w:szCs w:val="24"/>
              </w:rPr>
              <w:t>は、漏れがないことが必要です。詳しくは、</w:t>
            </w:r>
            <w:r w:rsidR="00F268F8">
              <w:rPr>
                <w:rFonts w:hAnsi="ＭＳ ゴシック" w:hint="eastAsia"/>
                <w:szCs w:val="24"/>
              </w:rPr>
              <w:t>厚生労働省のホームページの</w:t>
            </w:r>
            <w:r w:rsidR="00CD1DE9">
              <w:rPr>
                <w:rFonts w:hAnsi="ＭＳ ゴシック" w:hint="eastAsia"/>
                <w:szCs w:val="24"/>
              </w:rPr>
              <w:t>様式</w:t>
            </w:r>
            <w:r w:rsidR="00D11549">
              <w:rPr>
                <w:rFonts w:hAnsi="ＭＳ ゴシック" w:hint="eastAsia"/>
                <w:szCs w:val="24"/>
              </w:rPr>
              <w:t>例</w:t>
            </w:r>
            <w:r w:rsidR="00F268F8">
              <w:rPr>
                <w:rFonts w:hAnsi="ＭＳ ゴシック" w:hint="eastAsia"/>
                <w:szCs w:val="24"/>
              </w:rPr>
              <w:t>を</w:t>
            </w:r>
            <w:r>
              <w:rPr>
                <w:rFonts w:hAnsi="ＭＳ ゴシック" w:hint="eastAsia"/>
                <w:szCs w:val="24"/>
              </w:rPr>
              <w:t>ご覧ください。</w:t>
            </w:r>
          </w:p>
          <w:p w14:paraId="7882ED6D" w14:textId="77777777" w:rsidR="00C51C21" w:rsidRDefault="00F268F8" w:rsidP="00C51C21">
            <w:pPr>
              <w:ind w:leftChars="100" w:left="454" w:hangingChars="100" w:hanging="227"/>
              <w:rPr>
                <w:rFonts w:hAnsi="ＭＳ ゴシック"/>
                <w:szCs w:val="24"/>
              </w:rPr>
            </w:pPr>
            <w:r>
              <w:rPr>
                <w:rFonts w:hAnsi="ＭＳ ゴシック" w:hint="eastAsia"/>
                <w:szCs w:val="24"/>
              </w:rPr>
              <w:t>（様式リンク先：</w:t>
            </w:r>
          </w:p>
          <w:p w14:paraId="7E70527B" w14:textId="65A30E86" w:rsidR="00951F98" w:rsidRDefault="00C51C21" w:rsidP="00C51C21">
            <w:pPr>
              <w:ind w:leftChars="200" w:left="453"/>
              <w:rPr>
                <w:rStyle w:val="a6"/>
              </w:rPr>
            </w:pPr>
            <w:r>
              <w:rPr>
                <w:rFonts w:hAnsi="ＭＳ ゴシック" w:hint="eastAsia"/>
                <w:szCs w:val="24"/>
              </w:rPr>
              <w:t xml:space="preserve">派遣先均等・均衡方式　</w:t>
            </w:r>
            <w:hyperlink r:id="rId6" w:history="1">
              <w:r w:rsidR="00AF7C0D" w:rsidRPr="00AF7C0D">
                <w:rPr>
                  <w:rStyle w:val="a6"/>
                </w:rPr>
                <w:t>https://www.mhlw.go.jp/content/000776592.pdf</w:t>
              </w:r>
            </w:hyperlink>
          </w:p>
          <w:p w14:paraId="216FD6A0" w14:textId="6020801F" w:rsidR="00C51C21" w:rsidRPr="00C51C21" w:rsidRDefault="00C51C21" w:rsidP="00C51C21">
            <w:pPr>
              <w:ind w:leftChars="200" w:left="453"/>
              <w:rPr>
                <w:rFonts w:hAnsi="ＭＳ ゴシック"/>
                <w:szCs w:val="24"/>
              </w:rPr>
            </w:pPr>
            <w:r w:rsidRPr="00C51C21">
              <w:rPr>
                <w:rFonts w:hAnsi="ＭＳ ゴシック"/>
                <w:szCs w:val="24"/>
              </w:rPr>
              <w:t>労使協定方式</w:t>
            </w:r>
            <w:r>
              <w:rPr>
                <w:rFonts w:hAnsi="ＭＳ ゴシック" w:hint="eastAsia"/>
                <w:szCs w:val="24"/>
              </w:rPr>
              <w:t xml:space="preserve">　</w:t>
            </w:r>
            <w:r w:rsidR="00270C7E">
              <w:rPr>
                <w:rFonts w:hAnsi="ＭＳ ゴシック" w:hint="eastAsia"/>
                <w:szCs w:val="24"/>
              </w:rPr>
              <w:t xml:space="preserve">　　　　</w:t>
            </w:r>
            <w:hyperlink r:id="rId7" w:history="1">
              <w:r w:rsidR="00270C7E" w:rsidRPr="00270C7E">
                <w:rPr>
                  <w:rStyle w:val="a6"/>
                  <w:rFonts w:hAnsi="ＭＳ ゴシック"/>
                  <w:szCs w:val="24"/>
                </w:rPr>
                <w:t>https://www.mhlw.go.jp/content/000594124.pdf</w:t>
              </w:r>
            </w:hyperlink>
          </w:p>
          <w:p w14:paraId="0AAC8322" w14:textId="77777777" w:rsidR="00C51C21" w:rsidRDefault="00C51C21" w:rsidP="00951F98">
            <w:pPr>
              <w:ind w:left="453" w:hangingChars="200" w:hanging="453"/>
              <w:rPr>
                <w:rFonts w:hAnsi="ＭＳ ゴシック"/>
                <w:szCs w:val="24"/>
              </w:rPr>
            </w:pPr>
          </w:p>
          <w:p w14:paraId="4FF9ADCD" w14:textId="62F8C94D" w:rsidR="00C51C21" w:rsidRDefault="00C51C21" w:rsidP="00C51C21">
            <w:pPr>
              <w:ind w:leftChars="100" w:left="454" w:hangingChars="100" w:hanging="227"/>
              <w:rPr>
                <w:rFonts w:hAnsi="ＭＳ ゴシック"/>
                <w:szCs w:val="24"/>
              </w:rPr>
            </w:pPr>
            <w:r>
              <w:rPr>
                <w:rFonts w:hAnsi="ＭＳ ゴシック" w:hint="eastAsia"/>
                <w:szCs w:val="24"/>
              </w:rPr>
              <w:t>□　派遣先は、</w:t>
            </w:r>
            <w:r w:rsidRPr="008F0F8D">
              <w:rPr>
                <w:rFonts w:hAnsi="ＭＳ ゴシック" w:hint="eastAsia"/>
                <w:b/>
                <w:color w:val="FF0000"/>
                <w:szCs w:val="24"/>
                <w:u w:val="single"/>
              </w:rPr>
              <w:t>比較対象労働者の情報</w:t>
            </w:r>
            <w:r w:rsidR="00AA7EF8">
              <w:rPr>
                <w:rFonts w:hAnsi="ＭＳ ゴシック" w:hint="eastAsia"/>
                <w:b/>
                <w:color w:val="FF0000"/>
                <w:szCs w:val="24"/>
                <w:u w:val="single"/>
              </w:rPr>
              <w:t>等</w:t>
            </w:r>
            <w:r w:rsidRPr="008F0F8D">
              <w:rPr>
                <w:rFonts w:hAnsi="ＭＳ ゴシック" w:hint="eastAsia"/>
                <w:b/>
                <w:color w:val="FF0000"/>
                <w:szCs w:val="24"/>
                <w:u w:val="single"/>
              </w:rPr>
              <w:t>に変更</w:t>
            </w:r>
            <w:r>
              <w:rPr>
                <w:rFonts w:hAnsi="ＭＳ ゴシック" w:hint="eastAsia"/>
                <w:szCs w:val="24"/>
              </w:rPr>
              <w:t>があった場合は、遅滞なく、派遣元事業主に対し、変更の情報提供をしなければなりません。</w:t>
            </w:r>
          </w:p>
          <w:p w14:paraId="388D6505" w14:textId="3859DA17" w:rsidR="00C51C21" w:rsidRDefault="00D34C45" w:rsidP="00D34C45">
            <w:pPr>
              <w:ind w:leftChars="200" w:left="650" w:hangingChars="100" w:hanging="197"/>
              <w:rPr>
                <w:rFonts w:hAnsi="ＭＳ ゴシック"/>
                <w:sz w:val="21"/>
                <w:szCs w:val="24"/>
              </w:rPr>
            </w:pPr>
            <w:r w:rsidRPr="00D34C45">
              <w:rPr>
                <w:rFonts w:hAnsi="ＭＳ ゴシック" w:hint="eastAsia"/>
                <w:sz w:val="21"/>
                <w:szCs w:val="24"/>
              </w:rPr>
              <w:t>※　変更がない場合であっても、派遣先は、派遣元の求めに応じて、派遣先の労働者に関する情報、派遣労働者の業務遂行状況などの情報を提供するなど必要な協力をするように配慮する義務があります。</w:t>
            </w:r>
          </w:p>
          <w:p w14:paraId="6A106DB5" w14:textId="77777777" w:rsidR="00270C7E" w:rsidRDefault="00270C7E" w:rsidP="00D34C45">
            <w:pPr>
              <w:ind w:leftChars="200" w:left="650" w:hangingChars="100" w:hanging="197"/>
              <w:rPr>
                <w:rFonts w:hAnsi="ＭＳ ゴシック"/>
                <w:sz w:val="21"/>
                <w:szCs w:val="24"/>
              </w:rPr>
            </w:pPr>
          </w:p>
          <w:p w14:paraId="12F4717A" w14:textId="35401158" w:rsidR="00C000E6" w:rsidRDefault="00C51C21" w:rsidP="00C000E6">
            <w:pPr>
              <w:ind w:left="453" w:hangingChars="200" w:hanging="453"/>
              <w:rPr>
                <w:rFonts w:hAnsi="ＭＳ ゴシック"/>
                <w:szCs w:val="24"/>
              </w:rPr>
            </w:pPr>
            <w:r>
              <w:rPr>
                <w:rFonts w:hAnsi="ＭＳ ゴシック" w:hint="eastAsia"/>
                <w:szCs w:val="24"/>
              </w:rPr>
              <w:t xml:space="preserve">　</w:t>
            </w:r>
            <w:r w:rsidR="00917244">
              <w:rPr>
                <w:rFonts w:hAnsi="ＭＳ ゴシック" w:hint="eastAsia"/>
                <w:szCs w:val="24"/>
              </w:rPr>
              <w:t>□　比較対象労働者の待遇等に関する情報は、その書面等の写しを労働者派遣が終了した日から起算して３年を経過する日まで保存することが必要です。</w:t>
            </w:r>
          </w:p>
          <w:p w14:paraId="1E3E4550" w14:textId="0F44C1FB" w:rsidR="00951F98" w:rsidRPr="00C51C21" w:rsidRDefault="00951F98" w:rsidP="008474F1">
            <w:pPr>
              <w:rPr>
                <w:rFonts w:hAnsi="ＭＳ ゴシック"/>
                <w:szCs w:val="24"/>
              </w:rPr>
            </w:pPr>
          </w:p>
          <w:p w14:paraId="6C38E121" w14:textId="77777777" w:rsidR="00C51C21" w:rsidRPr="00C51C21" w:rsidRDefault="00C51C21" w:rsidP="00C51C21">
            <w:pPr>
              <w:rPr>
                <w:rFonts w:hAnsi="ＭＳ ゴシック"/>
                <w:b/>
                <w:szCs w:val="24"/>
              </w:rPr>
            </w:pPr>
            <w:r w:rsidRPr="00C51C21">
              <w:rPr>
                <w:rFonts w:hAnsi="ＭＳ ゴシック" w:hint="eastAsia"/>
                <w:b/>
                <w:szCs w:val="24"/>
              </w:rPr>
              <w:t>（派遣先均等・均衡方式の場合）</w:t>
            </w:r>
          </w:p>
          <w:p w14:paraId="5F29BFE8" w14:textId="48CDB95B" w:rsidR="00C51C21" w:rsidRDefault="00C51C21" w:rsidP="008474F1">
            <w:pPr>
              <w:rPr>
                <w:rFonts w:hAnsi="ＭＳ ゴシック"/>
                <w:szCs w:val="24"/>
              </w:rPr>
            </w:pPr>
            <w:r>
              <w:rPr>
                <w:rFonts w:hAnsi="ＭＳ ゴシック" w:hint="eastAsia"/>
                <w:szCs w:val="24"/>
              </w:rPr>
              <w:t xml:space="preserve">　□　</w:t>
            </w:r>
            <w:r w:rsidRPr="00C51C21">
              <w:rPr>
                <w:rFonts w:hAnsi="ＭＳ ゴシック" w:hint="eastAsia"/>
                <w:b/>
                <w:color w:val="FF0000"/>
                <w:szCs w:val="24"/>
                <w:u w:val="single"/>
              </w:rPr>
              <w:t>比較対象労働者</w:t>
            </w:r>
            <w:r w:rsidR="00917244" w:rsidRPr="005C793F">
              <w:rPr>
                <w:rFonts w:hAnsi="ＭＳ ゴシック"/>
                <w:b/>
                <w:color w:val="FF0000"/>
                <w:sz w:val="21"/>
                <w:szCs w:val="24"/>
                <w:u w:val="single"/>
              </w:rPr>
              <w:t>(</w:t>
            </w:r>
            <w:r w:rsidR="00917244" w:rsidRPr="00917244">
              <w:rPr>
                <w:rFonts w:hAnsi="ＭＳ ゴシック" w:hint="eastAsia"/>
                <w:b/>
                <w:color w:val="FF0000"/>
                <w:sz w:val="21"/>
                <w:szCs w:val="24"/>
                <w:u w:val="single"/>
              </w:rPr>
              <w:t>※</w:t>
            </w:r>
            <w:r w:rsidR="00917244">
              <w:rPr>
                <w:rFonts w:hAnsi="ＭＳ ゴシック" w:hint="eastAsia"/>
                <w:b/>
                <w:color w:val="FF0000"/>
                <w:sz w:val="21"/>
                <w:szCs w:val="24"/>
                <w:u w:val="single"/>
              </w:rPr>
              <w:t>1</w:t>
            </w:r>
            <w:r w:rsidR="00917244" w:rsidRPr="005C793F">
              <w:rPr>
                <w:rFonts w:hAnsi="ＭＳ ゴシック"/>
                <w:b/>
                <w:color w:val="FF0000"/>
                <w:sz w:val="21"/>
                <w:szCs w:val="24"/>
                <w:u w:val="single"/>
              </w:rPr>
              <w:t>)</w:t>
            </w:r>
            <w:r>
              <w:rPr>
                <w:rFonts w:hAnsi="ＭＳ ゴシック" w:hint="eastAsia"/>
                <w:szCs w:val="24"/>
              </w:rPr>
              <w:t>は、以下の</w:t>
            </w:r>
            <w:r w:rsidRPr="00C51C21">
              <w:rPr>
                <w:rFonts w:hAnsi="ＭＳ ゴシック" w:hint="eastAsia"/>
                <w:b/>
                <w:color w:val="FF0000"/>
                <w:szCs w:val="24"/>
                <w:u w:val="single"/>
              </w:rPr>
              <w:t>優先順位</w:t>
            </w:r>
            <w:r>
              <w:rPr>
                <w:rFonts w:hAnsi="ＭＳ ゴシック" w:hint="eastAsia"/>
                <w:szCs w:val="24"/>
              </w:rPr>
              <w:t>により選定することが必要です。</w:t>
            </w:r>
          </w:p>
          <w:p w14:paraId="1FE87810" w14:textId="61DADCDC" w:rsidR="00C51C21" w:rsidRPr="00C51C21" w:rsidRDefault="00C51C21" w:rsidP="00C51C21">
            <w:pPr>
              <w:ind w:leftChars="200" w:left="650" w:hangingChars="100" w:hanging="197"/>
              <w:rPr>
                <w:rFonts w:hAnsi="ＭＳ ゴシック"/>
                <w:sz w:val="21"/>
                <w:szCs w:val="24"/>
              </w:rPr>
            </w:pPr>
            <w:r w:rsidRPr="00C51C21">
              <w:rPr>
                <w:rFonts w:hAnsi="ＭＳ ゴシック" w:hint="eastAsia"/>
                <w:sz w:val="21"/>
                <w:szCs w:val="24"/>
              </w:rPr>
              <w:t>①　「職務の内容</w:t>
            </w:r>
            <w:r w:rsidR="00C000E6">
              <w:rPr>
                <w:rFonts w:hAnsi="ＭＳ ゴシック" w:hint="eastAsia"/>
                <w:sz w:val="21"/>
                <w:szCs w:val="24"/>
              </w:rPr>
              <w:t>（※</w:t>
            </w:r>
            <w:r w:rsidR="00917244">
              <w:rPr>
                <w:rFonts w:hAnsi="ＭＳ ゴシック" w:hint="eastAsia"/>
                <w:sz w:val="21"/>
                <w:szCs w:val="24"/>
              </w:rPr>
              <w:t>2</w:t>
            </w:r>
            <w:r w:rsidR="00C000E6">
              <w:rPr>
                <w:rFonts w:hAnsi="ＭＳ ゴシック" w:hint="eastAsia"/>
                <w:sz w:val="21"/>
                <w:szCs w:val="24"/>
              </w:rPr>
              <w:t>）</w:t>
            </w:r>
            <w:r w:rsidRPr="00C51C21">
              <w:rPr>
                <w:rFonts w:hAnsi="ＭＳ ゴシック" w:hint="eastAsia"/>
                <w:sz w:val="21"/>
                <w:szCs w:val="24"/>
              </w:rPr>
              <w:t>」と「職務の内容及び配置の変更の範囲」が同じ通常の労働者</w:t>
            </w:r>
          </w:p>
          <w:p w14:paraId="3452C179" w14:textId="36039542" w:rsidR="00C51C21" w:rsidRPr="00C51C21" w:rsidRDefault="00C51C21" w:rsidP="00C51C21">
            <w:pPr>
              <w:ind w:leftChars="200" w:left="650" w:hangingChars="100" w:hanging="197"/>
              <w:rPr>
                <w:rFonts w:hAnsi="ＭＳ ゴシック"/>
                <w:sz w:val="21"/>
                <w:szCs w:val="24"/>
              </w:rPr>
            </w:pPr>
            <w:r w:rsidRPr="00C51C21">
              <w:rPr>
                <w:rFonts w:hAnsi="ＭＳ ゴシック" w:hint="eastAsia"/>
                <w:sz w:val="21"/>
                <w:szCs w:val="24"/>
              </w:rPr>
              <w:t>②　「職務の内容</w:t>
            </w:r>
            <w:r w:rsidR="00C000E6">
              <w:rPr>
                <w:rFonts w:hAnsi="ＭＳ ゴシック" w:hint="eastAsia"/>
                <w:sz w:val="21"/>
                <w:szCs w:val="24"/>
              </w:rPr>
              <w:t>（※</w:t>
            </w:r>
            <w:r w:rsidR="00917244">
              <w:rPr>
                <w:rFonts w:hAnsi="ＭＳ ゴシック" w:hint="eastAsia"/>
                <w:sz w:val="21"/>
                <w:szCs w:val="24"/>
              </w:rPr>
              <w:t>2</w:t>
            </w:r>
            <w:r w:rsidR="00C000E6">
              <w:rPr>
                <w:rFonts w:hAnsi="ＭＳ ゴシック" w:hint="eastAsia"/>
                <w:sz w:val="21"/>
                <w:szCs w:val="24"/>
              </w:rPr>
              <w:t>）</w:t>
            </w:r>
            <w:r w:rsidRPr="00C51C21">
              <w:rPr>
                <w:rFonts w:hAnsi="ＭＳ ゴシック" w:hint="eastAsia"/>
                <w:sz w:val="21"/>
                <w:szCs w:val="24"/>
              </w:rPr>
              <w:t>」が同じ通常の労働者</w:t>
            </w:r>
          </w:p>
          <w:p w14:paraId="65D5199E" w14:textId="77777777" w:rsidR="00C51C21" w:rsidRPr="00C51C21" w:rsidRDefault="00C51C21" w:rsidP="00C51C21">
            <w:pPr>
              <w:ind w:leftChars="200" w:left="650" w:hangingChars="100" w:hanging="197"/>
              <w:rPr>
                <w:rFonts w:hAnsi="ＭＳ ゴシック"/>
                <w:sz w:val="21"/>
                <w:szCs w:val="24"/>
              </w:rPr>
            </w:pPr>
            <w:r w:rsidRPr="00C51C21">
              <w:rPr>
                <w:rFonts w:hAnsi="ＭＳ ゴシック" w:hint="eastAsia"/>
                <w:sz w:val="21"/>
                <w:szCs w:val="24"/>
              </w:rPr>
              <w:t>③　「業務の内容」又は「責任の程度」が同じ通常の労働者</w:t>
            </w:r>
          </w:p>
          <w:p w14:paraId="3B44BA5C" w14:textId="77777777" w:rsidR="00C51C21" w:rsidRPr="00C51C21" w:rsidRDefault="00C51C21" w:rsidP="00C51C21">
            <w:pPr>
              <w:ind w:leftChars="200" w:left="650" w:hangingChars="100" w:hanging="197"/>
              <w:rPr>
                <w:rFonts w:hAnsi="ＭＳ ゴシック"/>
                <w:sz w:val="21"/>
                <w:szCs w:val="24"/>
              </w:rPr>
            </w:pPr>
            <w:r w:rsidRPr="00C51C21">
              <w:rPr>
                <w:rFonts w:hAnsi="ＭＳ ゴシック" w:hint="eastAsia"/>
                <w:sz w:val="21"/>
                <w:szCs w:val="24"/>
              </w:rPr>
              <w:t>④　「職務の内容及び配置の変更の範囲」が同じ通常の労働者</w:t>
            </w:r>
          </w:p>
          <w:p w14:paraId="56AE2DD8" w14:textId="77777777" w:rsidR="00C51C21" w:rsidRPr="00C51C21" w:rsidRDefault="00C51C21" w:rsidP="00C51C21">
            <w:pPr>
              <w:ind w:leftChars="200" w:left="650" w:hangingChars="100" w:hanging="197"/>
              <w:rPr>
                <w:rFonts w:hAnsi="ＭＳ ゴシック"/>
                <w:sz w:val="21"/>
                <w:szCs w:val="24"/>
              </w:rPr>
            </w:pPr>
            <w:r w:rsidRPr="00C51C21">
              <w:rPr>
                <w:rFonts w:hAnsi="ＭＳ ゴシック" w:hint="eastAsia"/>
                <w:sz w:val="21"/>
                <w:szCs w:val="24"/>
              </w:rPr>
              <w:t>⑤　①～④に相当するパート・有期雇用労働者（</w:t>
            </w:r>
            <w:r w:rsidRPr="00C51C21">
              <w:rPr>
                <w:rFonts w:hAnsi="ＭＳ ゴシック" w:hint="eastAsia"/>
                <w:sz w:val="21"/>
                <w:szCs w:val="24"/>
                <w:u w:val="single"/>
              </w:rPr>
              <w:t>短時間・有期雇用労働法等に基づき、派遣先の通常の労働者との間で均衡待遇が確保されていることが必要</w:t>
            </w:r>
            <w:r w:rsidRPr="00C51C21">
              <w:rPr>
                <w:rFonts w:hAnsi="ＭＳ ゴシック" w:hint="eastAsia"/>
                <w:sz w:val="21"/>
                <w:szCs w:val="24"/>
              </w:rPr>
              <w:t>）</w:t>
            </w:r>
          </w:p>
          <w:p w14:paraId="732189D0" w14:textId="212D3B84" w:rsidR="00C51C21" w:rsidRPr="00C51C21" w:rsidRDefault="00C51C21" w:rsidP="00C51C21">
            <w:pPr>
              <w:ind w:leftChars="200" w:left="650" w:hangingChars="100" w:hanging="197"/>
              <w:rPr>
                <w:rFonts w:hAnsi="ＭＳ ゴシック"/>
                <w:sz w:val="21"/>
                <w:szCs w:val="24"/>
              </w:rPr>
            </w:pPr>
            <w:r w:rsidRPr="00C51C21">
              <w:rPr>
                <w:rFonts w:hAnsi="ＭＳ ゴシック" w:hint="eastAsia"/>
                <w:sz w:val="21"/>
                <w:szCs w:val="24"/>
              </w:rPr>
              <w:t>⑥　派遣労働者と同一の職務に従事させるために新たに通常の労働者を雇い入れたと仮定した場合における当該労働者</w:t>
            </w:r>
            <w:r>
              <w:rPr>
                <w:rFonts w:hAnsi="ＭＳ ゴシック" w:hint="eastAsia"/>
                <w:sz w:val="21"/>
                <w:szCs w:val="24"/>
              </w:rPr>
              <w:t>（</w:t>
            </w:r>
            <w:r w:rsidRPr="00C51C21">
              <w:rPr>
                <w:rFonts w:hAnsi="ＭＳ ゴシック" w:hint="eastAsia"/>
                <w:sz w:val="21"/>
                <w:szCs w:val="24"/>
                <w:u w:val="single"/>
              </w:rPr>
              <w:t>実際に雇い入れた場合の待遇であることを証する一定の根拠（就業規則等）に基づき決定されていることが必要</w:t>
            </w:r>
            <w:r>
              <w:rPr>
                <w:rFonts w:hAnsi="ＭＳ ゴシック" w:hint="eastAsia"/>
                <w:sz w:val="21"/>
                <w:szCs w:val="24"/>
              </w:rPr>
              <w:t>）</w:t>
            </w:r>
          </w:p>
          <w:p w14:paraId="264476DD" w14:textId="052E1697" w:rsidR="00C51C21" w:rsidRDefault="00C51C21" w:rsidP="008474F1">
            <w:pPr>
              <w:rPr>
                <w:rFonts w:hAnsi="ＭＳ ゴシック"/>
                <w:szCs w:val="24"/>
              </w:rPr>
            </w:pPr>
          </w:p>
          <w:p w14:paraId="72C44DDF" w14:textId="77777777" w:rsidR="00917244" w:rsidRDefault="00917244" w:rsidP="00C000E6">
            <w:pPr>
              <w:ind w:leftChars="100" w:left="227"/>
              <w:rPr>
                <w:rFonts w:hAnsi="ＭＳ ゴシック"/>
                <w:sz w:val="21"/>
                <w:szCs w:val="24"/>
              </w:rPr>
            </w:pPr>
            <w:r w:rsidRPr="0049158C">
              <w:rPr>
                <w:rFonts w:hAnsi="ＭＳ ゴシック" w:hint="eastAsia"/>
                <w:sz w:val="21"/>
                <w:szCs w:val="24"/>
              </w:rPr>
              <w:t>※</w:t>
            </w:r>
            <w:r>
              <w:rPr>
                <w:rFonts w:hAnsi="ＭＳ ゴシック" w:hint="eastAsia"/>
                <w:sz w:val="21"/>
                <w:szCs w:val="24"/>
              </w:rPr>
              <w:t xml:space="preserve">１　</w:t>
            </w:r>
            <w:r w:rsidRPr="0049158C">
              <w:rPr>
                <w:rFonts w:hAnsi="ＭＳ ゴシック" w:hint="eastAsia"/>
                <w:sz w:val="21"/>
                <w:szCs w:val="24"/>
              </w:rPr>
              <w:t>労使協定方式の場合は、比較対象労働者を選定する必要はありません。</w:t>
            </w:r>
          </w:p>
          <w:p w14:paraId="7A93A2B4" w14:textId="6C237A27" w:rsidR="00951F98" w:rsidRPr="001A324E" w:rsidRDefault="00C000E6" w:rsidP="001A324E">
            <w:pPr>
              <w:ind w:leftChars="100" w:left="227"/>
              <w:rPr>
                <w:rFonts w:hAnsi="ＭＳ ゴシック"/>
                <w:sz w:val="21"/>
                <w:szCs w:val="24"/>
              </w:rPr>
            </w:pPr>
            <w:r w:rsidRPr="00C000E6">
              <w:rPr>
                <w:rFonts w:hAnsi="ＭＳ ゴシック" w:hint="eastAsia"/>
                <w:sz w:val="21"/>
                <w:szCs w:val="24"/>
              </w:rPr>
              <w:t>※</w:t>
            </w:r>
            <w:r w:rsidR="00917244">
              <w:rPr>
                <w:rFonts w:hAnsi="ＭＳ ゴシック" w:hint="eastAsia"/>
                <w:sz w:val="21"/>
                <w:szCs w:val="24"/>
              </w:rPr>
              <w:t>２</w:t>
            </w:r>
            <w:r w:rsidRPr="00C000E6">
              <w:rPr>
                <w:rFonts w:hAnsi="ＭＳ ゴシック" w:hint="eastAsia"/>
                <w:sz w:val="21"/>
                <w:szCs w:val="24"/>
              </w:rPr>
              <w:t xml:space="preserve">　職務の内容とは、「業務の内容」＋「責任の程度」をいいます。</w:t>
            </w:r>
          </w:p>
        </w:tc>
      </w:tr>
    </w:tbl>
    <w:p w14:paraId="002956BB" w14:textId="2F63CD8E" w:rsidR="00573E80" w:rsidRDefault="00573E80">
      <w:pPr>
        <w:widowControl/>
        <w:jc w:val="left"/>
        <w:rPr>
          <w:rFonts w:hAnsi="ＭＳ ゴシック"/>
          <w:szCs w:val="24"/>
        </w:rPr>
      </w:pPr>
    </w:p>
    <w:p w14:paraId="1AE22E87" w14:textId="33C4CABB" w:rsidR="005619E2" w:rsidRPr="008F0F8D" w:rsidRDefault="00346340" w:rsidP="008F0F8D">
      <w:pPr>
        <w:spacing w:line="440" w:lineRule="exact"/>
        <w:jc w:val="left"/>
        <w:rPr>
          <w:rFonts w:ascii="メイリオ" w:eastAsia="メイリオ" w:hAnsi="メイリオ"/>
          <w:b/>
          <w:szCs w:val="24"/>
        </w:rPr>
      </w:pPr>
      <w:bookmarkStart w:id="0" w:name="_GoBack"/>
      <w:bookmarkEnd w:id="0"/>
      <w:r w:rsidRPr="008F0F8D">
        <w:rPr>
          <w:rFonts w:ascii="メイリオ" w:eastAsia="メイリオ" w:hAnsi="メイリオ" w:hint="eastAsia"/>
          <w:b/>
          <w:szCs w:val="24"/>
        </w:rPr>
        <w:t>《労働者派遣契約の締結</w:t>
      </w:r>
      <w:r w:rsidR="00811166" w:rsidRPr="008F0F8D">
        <w:rPr>
          <w:rFonts w:ascii="メイリオ" w:eastAsia="メイリオ" w:hAnsi="メイリオ" w:hint="eastAsia"/>
          <w:b/>
          <w:szCs w:val="24"/>
        </w:rPr>
        <w:t>等</w:t>
      </w:r>
      <w:r w:rsidRPr="008F0F8D">
        <w:rPr>
          <w:rFonts w:ascii="メイリオ" w:eastAsia="メイリオ" w:hAnsi="メイリオ" w:hint="eastAsia"/>
          <w:b/>
          <w:szCs w:val="24"/>
        </w:rPr>
        <w:t>》</w:t>
      </w:r>
    </w:p>
    <w:p w14:paraId="721FA318" w14:textId="583FA399" w:rsidR="00346340" w:rsidRPr="008F0F8D" w:rsidRDefault="00660FD0" w:rsidP="008F0F8D">
      <w:pPr>
        <w:spacing w:line="440" w:lineRule="exact"/>
        <w:ind w:left="227" w:hangingChars="100" w:hanging="227"/>
        <w:jc w:val="left"/>
        <w:rPr>
          <w:rFonts w:ascii="メイリオ" w:eastAsia="メイリオ" w:hAnsi="メイリオ"/>
          <w:szCs w:val="24"/>
        </w:rPr>
      </w:pPr>
      <w:r>
        <w:rPr>
          <w:rFonts w:ascii="メイリオ" w:eastAsia="メイリオ" w:hAnsi="メイリオ" w:hint="eastAsia"/>
          <w:szCs w:val="24"/>
        </w:rPr>
        <w:t>２</w:t>
      </w:r>
      <w:r w:rsidR="00D624F4" w:rsidRPr="008F0F8D">
        <w:rPr>
          <w:rFonts w:ascii="メイリオ" w:eastAsia="メイリオ" w:hAnsi="メイリオ" w:hint="eastAsia"/>
          <w:szCs w:val="24"/>
        </w:rPr>
        <w:t xml:space="preserve">　</w:t>
      </w:r>
      <w:r w:rsidR="00D624F4" w:rsidRPr="00660FD0">
        <w:rPr>
          <w:rFonts w:ascii="メイリオ" w:eastAsia="メイリオ" w:hAnsi="メイリオ" w:hint="eastAsia"/>
          <w:b/>
          <w:color w:val="FF0000"/>
          <w:szCs w:val="24"/>
          <w:u w:val="single"/>
        </w:rPr>
        <w:t>労働者派遣契約書など</w:t>
      </w:r>
      <w:r w:rsidR="00D624F4" w:rsidRPr="008F0F8D">
        <w:rPr>
          <w:rFonts w:ascii="メイリオ" w:eastAsia="メイリオ" w:hAnsi="メイリオ" w:hint="eastAsia"/>
          <w:szCs w:val="24"/>
        </w:rPr>
        <w:t>に、</w:t>
      </w:r>
      <w:r w:rsidR="00825F24" w:rsidRPr="00825F24">
        <w:rPr>
          <w:rFonts w:ascii="メイリオ" w:eastAsia="メイリオ" w:hAnsi="メイリオ" w:hint="eastAsia"/>
          <w:szCs w:val="24"/>
        </w:rPr>
        <w:t>派遣労働者の同一労働同一賃金に関係して、</w:t>
      </w:r>
      <w:r w:rsidR="00D624F4" w:rsidRPr="008F0F8D">
        <w:rPr>
          <w:rFonts w:ascii="メイリオ" w:eastAsia="メイリオ" w:hAnsi="メイリオ" w:hint="eastAsia"/>
          <w:szCs w:val="24"/>
        </w:rPr>
        <w:t>記載事項と</w:t>
      </w:r>
      <w:r w:rsidR="002E664D">
        <w:rPr>
          <w:rFonts w:ascii="メイリオ" w:eastAsia="メイリオ" w:hAnsi="メイリオ" w:hint="eastAsia"/>
          <w:szCs w:val="24"/>
        </w:rPr>
        <w:t>して追加され</w:t>
      </w:r>
      <w:r w:rsidR="00D624F4" w:rsidRPr="008F0F8D">
        <w:rPr>
          <w:rFonts w:ascii="メイリオ" w:eastAsia="メイリオ" w:hAnsi="メイリオ" w:hint="eastAsia"/>
          <w:szCs w:val="24"/>
        </w:rPr>
        <w:t>た項目を記載していますか</w:t>
      </w:r>
      <w:r w:rsidR="00C24DDD">
        <w:rPr>
          <w:rFonts w:ascii="メイリオ" w:eastAsia="メイリオ" w:hAnsi="メイリオ" w:hint="eastAsia"/>
          <w:szCs w:val="24"/>
        </w:rPr>
        <w:t>？</w:t>
      </w:r>
      <w:r w:rsidR="00411989">
        <w:rPr>
          <w:rFonts w:ascii="メイリオ" w:eastAsia="メイリオ" w:hAnsi="メイリオ" w:hint="eastAsia"/>
          <w:szCs w:val="24"/>
        </w:rPr>
        <w:t>（労働者派遣法第26条第１項第10号など）</w:t>
      </w:r>
    </w:p>
    <w:p w14:paraId="42C0B672" w14:textId="77777777" w:rsidR="00CD1DE9" w:rsidRPr="008F0F8D" w:rsidRDefault="00CD1DE9" w:rsidP="00CD1DE9">
      <w:pPr>
        <w:ind w:left="227" w:hangingChars="100" w:hanging="227"/>
        <w:jc w:val="right"/>
        <w:rPr>
          <w:rFonts w:hAnsi="ＭＳ ゴシック"/>
          <w:b/>
          <w:szCs w:val="24"/>
        </w:rPr>
      </w:pPr>
      <w:r w:rsidRPr="008F0F8D">
        <w:rPr>
          <w:rFonts w:ascii="メイリオ" w:eastAsia="メイリオ" w:hAnsi="メイリオ" w:cs="Times New Roman" w:hint="eastAsia"/>
          <w:b/>
          <w:szCs w:val="24"/>
          <w:u w:val="single"/>
        </w:rPr>
        <w:t>□記載している　　□記載していない</w:t>
      </w:r>
    </w:p>
    <w:tbl>
      <w:tblPr>
        <w:tblStyle w:val="a5"/>
        <w:tblW w:w="0" w:type="auto"/>
        <w:shd w:val="clear" w:color="auto" w:fill="FFF2CC" w:themeFill="accent4" w:themeFillTint="33"/>
        <w:tblLook w:val="04A0" w:firstRow="1" w:lastRow="0" w:firstColumn="1" w:lastColumn="0" w:noHBand="0" w:noVBand="1"/>
      </w:tblPr>
      <w:tblGrid>
        <w:gridCol w:w="9060"/>
      </w:tblGrid>
      <w:tr w:rsidR="00D624F4" w14:paraId="0EB5144C" w14:textId="77777777" w:rsidTr="008F0F8D">
        <w:tc>
          <w:tcPr>
            <w:tcW w:w="9060" w:type="dxa"/>
            <w:shd w:val="clear" w:color="auto" w:fill="FFF2CC" w:themeFill="accent4" w:themeFillTint="33"/>
          </w:tcPr>
          <w:p w14:paraId="76240E73" w14:textId="2C5B3FB9" w:rsidR="007938A2" w:rsidRDefault="007938A2" w:rsidP="00AF25A4">
            <w:pPr>
              <w:jc w:val="left"/>
              <w:rPr>
                <w:rFonts w:hAnsi="ＭＳ ゴシック"/>
                <w:szCs w:val="24"/>
              </w:rPr>
            </w:pPr>
            <w:r w:rsidRPr="008F0F8D">
              <w:rPr>
                <w:rFonts w:hAnsi="ＭＳ ゴシック" w:hint="eastAsia"/>
                <w:b/>
                <w:szCs w:val="24"/>
              </w:rPr>
              <w:t>【</w:t>
            </w:r>
            <w:r w:rsidR="00B4215E" w:rsidRPr="008F0F8D">
              <w:rPr>
                <w:rFonts w:hAnsi="ＭＳ ゴシック" w:hint="eastAsia"/>
                <w:b/>
                <w:szCs w:val="24"/>
              </w:rPr>
              <w:t>点検の</w:t>
            </w:r>
            <w:r w:rsidRPr="008F0F8D">
              <w:rPr>
                <w:rFonts w:hAnsi="ＭＳ ゴシック" w:hint="eastAsia"/>
                <w:b/>
                <w:szCs w:val="24"/>
              </w:rPr>
              <w:t>Point】</w:t>
            </w:r>
            <w:r w:rsidR="00825F24" w:rsidRPr="00825F24">
              <w:rPr>
                <w:rFonts w:hAnsi="ＭＳ ゴシック" w:hint="eastAsia"/>
                <w:b/>
                <w:szCs w:val="24"/>
              </w:rPr>
              <w:t>派遣労働者の同一労働同一賃金に関係して、</w:t>
            </w:r>
            <w:r>
              <w:rPr>
                <w:rFonts w:hAnsi="ＭＳ ゴシック" w:hint="eastAsia"/>
                <w:szCs w:val="24"/>
              </w:rPr>
              <w:t>追加され</w:t>
            </w:r>
            <w:r w:rsidR="00825F24">
              <w:rPr>
                <w:rFonts w:hAnsi="ＭＳ ゴシック" w:hint="eastAsia"/>
                <w:szCs w:val="24"/>
              </w:rPr>
              <w:t>た</w:t>
            </w:r>
            <w:r>
              <w:rPr>
                <w:rFonts w:hAnsi="ＭＳ ゴシック" w:hint="eastAsia"/>
                <w:szCs w:val="24"/>
              </w:rPr>
              <w:t>項目</w:t>
            </w:r>
          </w:p>
          <w:p w14:paraId="48FEDC98" w14:textId="77777777" w:rsidR="00270C7E" w:rsidRDefault="00BB2D72" w:rsidP="00AF25A4">
            <w:pPr>
              <w:jc w:val="left"/>
              <w:rPr>
                <w:rFonts w:hAnsi="ＭＳ ゴシック"/>
                <w:szCs w:val="24"/>
              </w:rPr>
            </w:pPr>
            <w:r>
              <w:rPr>
                <w:rFonts w:hAnsi="ＭＳ ゴシック" w:hint="eastAsia"/>
                <w:szCs w:val="24"/>
              </w:rPr>
              <w:t xml:space="preserve">　　記載例</w:t>
            </w:r>
          </w:p>
          <w:p w14:paraId="604B4637" w14:textId="43A8608B" w:rsidR="00BB2D72" w:rsidRDefault="00270C7E" w:rsidP="00382349">
            <w:pPr>
              <w:ind w:firstLineChars="200" w:firstLine="453"/>
              <w:jc w:val="left"/>
              <w:rPr>
                <w:rFonts w:hAnsi="ＭＳ ゴシック"/>
                <w:szCs w:val="24"/>
              </w:rPr>
            </w:pPr>
            <w:r>
              <w:rPr>
                <w:rFonts w:hAnsi="ＭＳ ゴシック" w:hint="eastAsia"/>
                <w:szCs w:val="24"/>
              </w:rPr>
              <w:t xml:space="preserve">派遣先均等・均衡方式　</w:t>
            </w:r>
            <w:r w:rsidR="00BB2D72">
              <w:rPr>
                <w:rFonts w:hAnsi="ＭＳ ゴシック" w:hint="eastAsia"/>
                <w:szCs w:val="24"/>
              </w:rPr>
              <w:t xml:space="preserve">　</w:t>
            </w:r>
            <w:hyperlink r:id="rId8" w:history="1">
              <w:r w:rsidR="00AF7C0D" w:rsidRPr="00AF7C0D">
                <w:rPr>
                  <w:rStyle w:val="a6"/>
                </w:rPr>
                <w:t>https://www.mhlw.go.jp/content/000776572.pdf</w:t>
              </w:r>
            </w:hyperlink>
          </w:p>
          <w:p w14:paraId="42D1904F" w14:textId="2D8C8126" w:rsidR="00BB2D72" w:rsidRDefault="00270C7E" w:rsidP="00AF25A4">
            <w:pPr>
              <w:jc w:val="left"/>
              <w:rPr>
                <w:rFonts w:hAnsi="ＭＳ ゴシック"/>
                <w:szCs w:val="24"/>
              </w:rPr>
            </w:pPr>
            <w:r>
              <w:rPr>
                <w:rFonts w:hAnsi="ＭＳ ゴシック" w:hint="eastAsia"/>
                <w:szCs w:val="24"/>
              </w:rPr>
              <w:t xml:space="preserve">　　労使協定方式　　　　　　</w:t>
            </w:r>
            <w:hyperlink r:id="rId9" w:history="1">
              <w:r w:rsidR="00AF7C0D" w:rsidRPr="00AF7C0D">
                <w:rPr>
                  <w:rStyle w:val="a6"/>
                  <w:rFonts w:hAnsi="ＭＳ ゴシック"/>
                  <w:szCs w:val="24"/>
                </w:rPr>
                <w:t>https://www.mhlw.go.jp/content/000776559.pdf</w:t>
              </w:r>
            </w:hyperlink>
          </w:p>
          <w:p w14:paraId="13F5707B" w14:textId="77777777" w:rsidR="00270C7E" w:rsidRDefault="00270C7E" w:rsidP="00AF25A4">
            <w:pPr>
              <w:jc w:val="left"/>
              <w:rPr>
                <w:rFonts w:hAnsi="ＭＳ ゴシック"/>
                <w:szCs w:val="24"/>
              </w:rPr>
            </w:pPr>
          </w:p>
          <w:p w14:paraId="7C9A08DA" w14:textId="77777777" w:rsidR="007938A2" w:rsidRDefault="00D624F4" w:rsidP="00AF25A4">
            <w:pPr>
              <w:jc w:val="left"/>
              <w:rPr>
                <w:rFonts w:hAnsi="ＭＳ ゴシック"/>
                <w:szCs w:val="24"/>
              </w:rPr>
            </w:pPr>
            <w:r>
              <w:rPr>
                <w:rFonts w:hAnsi="ＭＳ ゴシック" w:hint="eastAsia"/>
                <w:szCs w:val="24"/>
              </w:rPr>
              <w:t xml:space="preserve">□　</w:t>
            </w:r>
            <w:r w:rsidRPr="008F0F8D">
              <w:rPr>
                <w:rFonts w:hAnsi="ＭＳ ゴシック" w:hint="eastAsia"/>
                <w:b/>
                <w:color w:val="FF0000"/>
                <w:szCs w:val="24"/>
                <w:u w:val="single"/>
              </w:rPr>
              <w:t>労働者派遣契約書</w:t>
            </w:r>
            <w:r w:rsidR="007938A2">
              <w:rPr>
                <w:rFonts w:hAnsi="ＭＳ ゴシック" w:hint="eastAsia"/>
                <w:szCs w:val="24"/>
              </w:rPr>
              <w:t xml:space="preserve">　</w:t>
            </w:r>
          </w:p>
          <w:p w14:paraId="3C529173" w14:textId="6BB10AD6" w:rsidR="00D624F4" w:rsidRDefault="007938A2" w:rsidP="008F0F8D">
            <w:pPr>
              <w:ind w:firstLineChars="200" w:firstLine="453"/>
              <w:jc w:val="left"/>
              <w:rPr>
                <w:rFonts w:hAnsi="ＭＳ ゴシック"/>
                <w:szCs w:val="24"/>
              </w:rPr>
            </w:pPr>
            <w:r>
              <w:rPr>
                <w:rFonts w:hAnsi="ＭＳ ゴシック" w:hint="eastAsia"/>
                <w:szCs w:val="24"/>
              </w:rPr>
              <w:t>→「責任の程度」及び「協定対象派遣労働者に限定するか否か別」</w:t>
            </w:r>
          </w:p>
          <w:p w14:paraId="46A2C52A" w14:textId="795C01F2" w:rsidR="007938A2" w:rsidRDefault="007938A2" w:rsidP="00E51F12">
            <w:pPr>
              <w:ind w:left="680" w:hangingChars="300" w:hanging="680"/>
              <w:jc w:val="left"/>
              <w:rPr>
                <w:rFonts w:hAnsi="ＭＳ ゴシック"/>
                <w:szCs w:val="24"/>
              </w:rPr>
            </w:pPr>
          </w:p>
          <w:p w14:paraId="59C3A34A" w14:textId="6C61FD8B" w:rsidR="00232B6F" w:rsidRDefault="00232B6F" w:rsidP="00E51F12">
            <w:pPr>
              <w:ind w:left="680" w:hangingChars="300" w:hanging="680"/>
              <w:jc w:val="left"/>
              <w:rPr>
                <w:rFonts w:hAnsi="ＭＳ ゴシック"/>
                <w:szCs w:val="24"/>
              </w:rPr>
            </w:pPr>
            <w:r>
              <w:rPr>
                <w:rFonts w:hAnsi="ＭＳ ゴシック"/>
                <w:szCs w:val="24"/>
              </w:rPr>
              <w:t xml:space="preserve">□　</w:t>
            </w:r>
            <w:r w:rsidRPr="00232B6F">
              <w:rPr>
                <w:rFonts w:hAnsi="ＭＳ ゴシック"/>
                <w:b/>
                <w:color w:val="FF0000"/>
                <w:szCs w:val="24"/>
                <w:u w:val="single"/>
              </w:rPr>
              <w:t>派遣先</w:t>
            </w:r>
            <w:r w:rsidRPr="00232B6F">
              <w:rPr>
                <w:rFonts w:hAnsi="ＭＳ ゴシック" w:hint="eastAsia"/>
                <w:b/>
                <w:color w:val="FF0000"/>
                <w:szCs w:val="24"/>
                <w:u w:val="single"/>
              </w:rPr>
              <w:t>管理台帳</w:t>
            </w:r>
          </w:p>
          <w:p w14:paraId="0648A700" w14:textId="632F8293" w:rsidR="00232B6F" w:rsidRDefault="00232B6F" w:rsidP="00E51F12">
            <w:pPr>
              <w:ind w:left="680" w:hangingChars="300" w:hanging="680"/>
              <w:jc w:val="left"/>
              <w:rPr>
                <w:rFonts w:hAnsi="ＭＳ ゴシック"/>
                <w:szCs w:val="24"/>
              </w:rPr>
            </w:pPr>
            <w:r>
              <w:rPr>
                <w:rFonts w:hAnsi="ＭＳ ゴシック" w:hint="eastAsia"/>
                <w:szCs w:val="24"/>
              </w:rPr>
              <w:t xml:space="preserve">　→　「責任の程度」及び「協定対象派遣労働者であるか否かの別」</w:t>
            </w:r>
          </w:p>
          <w:p w14:paraId="7C8016F7" w14:textId="77777777" w:rsidR="007938A2" w:rsidRDefault="007938A2" w:rsidP="00E51F12">
            <w:pPr>
              <w:jc w:val="left"/>
              <w:rPr>
                <w:rFonts w:hAnsi="ＭＳ ゴシック"/>
                <w:szCs w:val="24"/>
              </w:rPr>
            </w:pPr>
          </w:p>
          <w:p w14:paraId="58FE00A8" w14:textId="77777777" w:rsidR="00763F97" w:rsidRPr="00993907" w:rsidRDefault="00763F97" w:rsidP="00763F97">
            <w:pPr>
              <w:ind w:left="1157" w:hangingChars="588" w:hanging="1157"/>
              <w:jc w:val="left"/>
              <w:rPr>
                <w:rFonts w:hAnsi="ＭＳ ゴシック"/>
                <w:sz w:val="21"/>
                <w:szCs w:val="24"/>
              </w:rPr>
            </w:pPr>
            <w:r w:rsidRPr="00993907">
              <w:rPr>
                <w:rFonts w:hAnsi="ＭＳ ゴシック" w:hint="eastAsia"/>
                <w:sz w:val="21"/>
                <w:szCs w:val="24"/>
              </w:rPr>
              <w:t>※責任の程度：派遣労働者が従事する業務に伴って行使するものとして付与されている権限の範囲・程度等のことをいいます。</w:t>
            </w:r>
          </w:p>
          <w:p w14:paraId="7E4741D2" w14:textId="236C21D9" w:rsidR="00763F97" w:rsidRDefault="00763F97" w:rsidP="00763F97">
            <w:pPr>
              <w:jc w:val="left"/>
              <w:rPr>
                <w:rFonts w:hAnsi="ＭＳ ゴシック"/>
                <w:szCs w:val="24"/>
              </w:rPr>
            </w:pPr>
            <w:r w:rsidRPr="00993907">
              <w:rPr>
                <w:rFonts w:hAnsi="ＭＳ ゴシック" w:hint="eastAsia"/>
                <w:sz w:val="21"/>
                <w:szCs w:val="24"/>
              </w:rPr>
              <w:t>（例</w:t>
            </w:r>
            <w:r>
              <w:rPr>
                <w:rFonts w:hAnsi="ＭＳ ゴシック" w:hint="eastAsia"/>
                <w:sz w:val="21"/>
                <w:szCs w:val="24"/>
              </w:rPr>
              <w:t>）</w:t>
            </w:r>
            <w:r w:rsidRPr="00993907">
              <w:rPr>
                <w:rFonts w:hAnsi="ＭＳ ゴシック" w:hint="eastAsia"/>
                <w:sz w:val="21"/>
                <w:szCs w:val="24"/>
              </w:rPr>
              <w:t>副リーダー（部下２名、リーダー不在の間における緊急対応が週１回程度有）</w:t>
            </w:r>
          </w:p>
        </w:tc>
      </w:tr>
    </w:tbl>
    <w:p w14:paraId="35848091" w14:textId="6C0E10EE" w:rsidR="00232B6F" w:rsidRDefault="00232B6F" w:rsidP="00232B6F">
      <w:pPr>
        <w:spacing w:line="440" w:lineRule="exact"/>
        <w:jc w:val="left"/>
        <w:rPr>
          <w:rFonts w:ascii="メイリオ" w:eastAsia="メイリオ" w:hAnsi="メイリオ"/>
          <w:b/>
          <w:szCs w:val="24"/>
        </w:rPr>
      </w:pPr>
      <w:r w:rsidRPr="008F0F8D">
        <w:rPr>
          <w:rFonts w:ascii="メイリオ" w:eastAsia="メイリオ" w:hAnsi="メイリオ" w:hint="eastAsia"/>
          <w:b/>
          <w:szCs w:val="24"/>
        </w:rPr>
        <w:lastRenderedPageBreak/>
        <w:t>《</w:t>
      </w:r>
      <w:r>
        <w:rPr>
          <w:rFonts w:ascii="メイリオ" w:eastAsia="メイリオ" w:hAnsi="メイリオ" w:hint="eastAsia"/>
          <w:b/>
          <w:szCs w:val="24"/>
        </w:rPr>
        <w:t>派遣料金の配慮義務</w:t>
      </w:r>
      <w:r w:rsidRPr="008F0F8D">
        <w:rPr>
          <w:rFonts w:ascii="メイリオ" w:eastAsia="メイリオ" w:hAnsi="メイリオ" w:hint="eastAsia"/>
          <w:b/>
          <w:szCs w:val="24"/>
        </w:rPr>
        <w:t>》</w:t>
      </w:r>
    </w:p>
    <w:p w14:paraId="7721A88D" w14:textId="01F99D18" w:rsidR="00232B6F" w:rsidRPr="00660FD0" w:rsidRDefault="00C24DDD" w:rsidP="00232B6F">
      <w:pPr>
        <w:spacing w:line="440" w:lineRule="exact"/>
        <w:ind w:left="227" w:hangingChars="100" w:hanging="227"/>
        <w:jc w:val="left"/>
        <w:rPr>
          <w:rFonts w:ascii="メイリオ" w:eastAsia="メイリオ" w:hAnsi="メイリオ"/>
          <w:szCs w:val="24"/>
        </w:rPr>
      </w:pPr>
      <w:r>
        <w:rPr>
          <w:rFonts w:ascii="メイリオ" w:eastAsia="メイリオ" w:hAnsi="メイリオ" w:hint="eastAsia"/>
          <w:szCs w:val="24"/>
        </w:rPr>
        <w:t>３</w:t>
      </w:r>
      <w:r w:rsidR="00232B6F" w:rsidRPr="008F0F8D">
        <w:rPr>
          <w:rFonts w:ascii="メイリオ" w:eastAsia="メイリオ" w:hAnsi="メイリオ" w:hint="eastAsia"/>
          <w:szCs w:val="24"/>
        </w:rPr>
        <w:t xml:space="preserve">　</w:t>
      </w:r>
      <w:r w:rsidR="00232B6F" w:rsidRPr="005C793F">
        <w:rPr>
          <w:rFonts w:ascii="メイリオ" w:eastAsia="メイリオ" w:hAnsi="メイリオ" w:hint="eastAsia"/>
          <w:b/>
          <w:color w:val="FF0000"/>
          <w:szCs w:val="24"/>
          <w:u w:val="single"/>
        </w:rPr>
        <w:t>派遣料金の額</w:t>
      </w:r>
      <w:r w:rsidR="00232B6F">
        <w:rPr>
          <w:rFonts w:ascii="メイリオ" w:eastAsia="メイリオ" w:hAnsi="メイリオ" w:hint="eastAsia"/>
          <w:szCs w:val="24"/>
        </w:rPr>
        <w:t>について、派遣元事業主が「派遣先均等・均衡方式」又は「労使協定方式」による待遇改善が行われるよう配慮していますか？</w:t>
      </w:r>
      <w:r w:rsidR="00660FD0">
        <w:rPr>
          <w:rFonts w:ascii="メイリオ" w:eastAsia="メイリオ" w:hAnsi="メイリオ" w:hint="eastAsia"/>
          <w:szCs w:val="24"/>
        </w:rPr>
        <w:t>（労働者派遣法第26条第11項）</w:t>
      </w:r>
    </w:p>
    <w:p w14:paraId="5D9687A0" w14:textId="2E268812" w:rsidR="00232B6F" w:rsidRPr="008F0F8D" w:rsidRDefault="00232B6F" w:rsidP="00232B6F">
      <w:pPr>
        <w:ind w:left="227" w:hangingChars="100" w:hanging="227"/>
        <w:jc w:val="right"/>
        <w:rPr>
          <w:rFonts w:hAnsi="ＭＳ ゴシック"/>
          <w:b/>
          <w:szCs w:val="24"/>
        </w:rPr>
      </w:pPr>
      <w:r>
        <w:rPr>
          <w:rFonts w:ascii="メイリオ" w:eastAsia="メイリオ" w:hAnsi="メイリオ" w:cs="Times New Roman" w:hint="eastAsia"/>
          <w:b/>
          <w:szCs w:val="24"/>
          <w:u w:val="single"/>
        </w:rPr>
        <w:t>□配慮</w:t>
      </w:r>
      <w:r w:rsidRPr="008F0F8D">
        <w:rPr>
          <w:rFonts w:ascii="メイリオ" w:eastAsia="メイリオ" w:hAnsi="メイリオ" w:cs="Times New Roman" w:hint="eastAsia"/>
          <w:b/>
          <w:szCs w:val="24"/>
          <w:u w:val="single"/>
        </w:rPr>
        <w:t>している　　□</w:t>
      </w:r>
      <w:r>
        <w:rPr>
          <w:rFonts w:ascii="メイリオ" w:eastAsia="メイリオ" w:hAnsi="メイリオ" w:cs="Times New Roman" w:hint="eastAsia"/>
          <w:b/>
          <w:szCs w:val="24"/>
          <w:u w:val="single"/>
        </w:rPr>
        <w:t>配慮</w:t>
      </w:r>
      <w:r w:rsidRPr="008F0F8D">
        <w:rPr>
          <w:rFonts w:ascii="メイリオ" w:eastAsia="メイリオ" w:hAnsi="メイリオ" w:cs="Times New Roman" w:hint="eastAsia"/>
          <w:b/>
          <w:szCs w:val="24"/>
          <w:u w:val="single"/>
        </w:rPr>
        <w:t>していない</w:t>
      </w:r>
    </w:p>
    <w:p w14:paraId="57BF21EB" w14:textId="2C2AD4E2" w:rsidR="00232B6F" w:rsidRPr="00232B6F" w:rsidRDefault="00232B6F" w:rsidP="00232B6F">
      <w:pPr>
        <w:ind w:leftChars="100" w:left="424" w:hangingChars="100" w:hanging="197"/>
        <w:jc w:val="left"/>
        <w:rPr>
          <w:rFonts w:hAnsi="ＭＳ ゴシック"/>
          <w:sz w:val="21"/>
          <w:szCs w:val="24"/>
        </w:rPr>
      </w:pPr>
      <w:r w:rsidRPr="00232B6F">
        <w:rPr>
          <w:rFonts w:hAnsi="ＭＳ ゴシック" w:hint="eastAsia"/>
          <w:sz w:val="21"/>
          <w:szCs w:val="24"/>
        </w:rPr>
        <w:t>※　例えば、派遣元事業主から要請があるにもかかわらず、派遣先が派遣料金の交渉に一切応じない場合や、派遣元事業主が法第</w:t>
      </w:r>
      <w:r w:rsidRPr="00232B6F">
        <w:rPr>
          <w:rFonts w:hAnsi="ＭＳ ゴシック"/>
          <w:sz w:val="21"/>
          <w:szCs w:val="24"/>
        </w:rPr>
        <w:t>30</w:t>
      </w:r>
      <w:r w:rsidRPr="00232B6F">
        <w:rPr>
          <w:rFonts w:hAnsi="ＭＳ ゴシック" w:hint="eastAsia"/>
          <w:sz w:val="21"/>
          <w:szCs w:val="24"/>
        </w:rPr>
        <w:t>条の３又は法第</w:t>
      </w:r>
      <w:r w:rsidRPr="00232B6F">
        <w:rPr>
          <w:rFonts w:hAnsi="ＭＳ ゴシック"/>
          <w:sz w:val="21"/>
          <w:szCs w:val="24"/>
        </w:rPr>
        <w:t>30</w:t>
      </w:r>
      <w:r w:rsidRPr="00232B6F">
        <w:rPr>
          <w:rFonts w:hAnsi="ＭＳ ゴシック" w:hint="eastAsia"/>
          <w:sz w:val="21"/>
          <w:szCs w:val="24"/>
        </w:rPr>
        <w:t>条の４第１項に基づく賃金を確保するために必要な額を派遣先に提示した上で派遣料金の交渉を行ったにもかかわらず、派遣料金が当該額を下回る場合には、配慮義務を尽くしたとは解されず、指導の対象となり得るもの</w:t>
      </w:r>
      <w:r w:rsidR="00AA7EF8">
        <w:rPr>
          <w:rFonts w:hAnsi="ＭＳ ゴシック" w:hint="eastAsia"/>
          <w:sz w:val="21"/>
          <w:szCs w:val="24"/>
        </w:rPr>
        <w:t>です。</w:t>
      </w:r>
    </w:p>
    <w:p w14:paraId="49471B02" w14:textId="77777777" w:rsidR="00232B6F" w:rsidRDefault="00232B6F" w:rsidP="00232B6F">
      <w:pPr>
        <w:jc w:val="left"/>
        <w:rPr>
          <w:rFonts w:hAnsi="ＭＳ ゴシック"/>
          <w:szCs w:val="24"/>
        </w:rPr>
      </w:pPr>
    </w:p>
    <w:p w14:paraId="0EDD3DEE" w14:textId="2E7651C4" w:rsidR="00232B6F" w:rsidRDefault="00232B6F" w:rsidP="00232B6F">
      <w:pPr>
        <w:spacing w:line="440" w:lineRule="exact"/>
        <w:ind w:left="227" w:hangingChars="100" w:hanging="227"/>
        <w:jc w:val="left"/>
        <w:rPr>
          <w:rFonts w:ascii="メイリオ" w:eastAsia="メイリオ" w:hAnsi="メイリオ"/>
          <w:szCs w:val="24"/>
        </w:rPr>
      </w:pPr>
    </w:p>
    <w:p w14:paraId="15C96A9B" w14:textId="600C642E" w:rsidR="00FD2C1F" w:rsidRDefault="00FD2C1F" w:rsidP="00FD2C1F">
      <w:pPr>
        <w:spacing w:line="440" w:lineRule="exact"/>
        <w:jc w:val="left"/>
        <w:rPr>
          <w:rFonts w:ascii="メイリオ" w:eastAsia="メイリオ" w:hAnsi="メイリオ"/>
          <w:b/>
          <w:szCs w:val="24"/>
        </w:rPr>
      </w:pPr>
      <w:r w:rsidRPr="008F0F8D">
        <w:rPr>
          <w:rFonts w:ascii="メイリオ" w:eastAsia="メイリオ" w:hAnsi="メイリオ" w:hint="eastAsia"/>
          <w:b/>
          <w:szCs w:val="24"/>
        </w:rPr>
        <w:t>《</w:t>
      </w:r>
      <w:r>
        <w:rPr>
          <w:rFonts w:ascii="メイリオ" w:eastAsia="メイリオ" w:hAnsi="メイリオ" w:hint="eastAsia"/>
          <w:b/>
          <w:szCs w:val="24"/>
        </w:rPr>
        <w:t>派遣先</w:t>
      </w:r>
      <w:r w:rsidR="00C24DDD">
        <w:rPr>
          <w:rFonts w:ascii="メイリオ" w:eastAsia="メイリオ" w:hAnsi="メイリオ" w:hint="eastAsia"/>
          <w:b/>
          <w:szCs w:val="24"/>
        </w:rPr>
        <w:t>が講ずべき措置</w:t>
      </w:r>
      <w:r w:rsidRPr="008F0F8D">
        <w:rPr>
          <w:rFonts w:ascii="メイリオ" w:eastAsia="メイリオ" w:hAnsi="メイリオ" w:hint="eastAsia"/>
          <w:b/>
          <w:szCs w:val="24"/>
        </w:rPr>
        <w:t>》</w:t>
      </w:r>
    </w:p>
    <w:p w14:paraId="2D09F720" w14:textId="0BBA2C45" w:rsidR="00FD2C1F" w:rsidRDefault="00C24DDD" w:rsidP="00FD2C1F">
      <w:pPr>
        <w:spacing w:line="440" w:lineRule="exact"/>
        <w:ind w:left="227" w:hangingChars="100" w:hanging="227"/>
        <w:jc w:val="left"/>
        <w:rPr>
          <w:rFonts w:ascii="メイリオ" w:eastAsia="メイリオ" w:hAnsi="メイリオ"/>
          <w:szCs w:val="24"/>
        </w:rPr>
      </w:pPr>
      <w:r>
        <w:rPr>
          <w:rFonts w:ascii="メイリオ" w:eastAsia="メイリオ" w:hAnsi="メイリオ" w:hint="eastAsia"/>
          <w:szCs w:val="24"/>
        </w:rPr>
        <w:t>４</w:t>
      </w:r>
      <w:r w:rsidR="00FD2C1F" w:rsidRPr="00FD2C1F">
        <w:rPr>
          <w:rFonts w:ascii="メイリオ" w:eastAsia="メイリオ" w:hAnsi="メイリオ" w:hint="eastAsia"/>
          <w:szCs w:val="24"/>
        </w:rPr>
        <w:t xml:space="preserve">　派遣先の労働者に対して業務の遂行に必要な能力を付与するための</w:t>
      </w:r>
      <w:r w:rsidR="00FD2C1F" w:rsidRPr="00660FD0">
        <w:rPr>
          <w:rFonts w:ascii="メイリオ" w:eastAsia="メイリオ" w:hAnsi="メイリオ" w:hint="eastAsia"/>
          <w:b/>
          <w:color w:val="FF0000"/>
          <w:szCs w:val="24"/>
          <w:u w:val="single"/>
        </w:rPr>
        <w:t>教育訓練</w:t>
      </w:r>
      <w:r w:rsidR="00FD2C1F" w:rsidRPr="00FD2C1F">
        <w:rPr>
          <w:rFonts w:ascii="メイリオ" w:eastAsia="メイリオ" w:hAnsi="メイリオ" w:hint="eastAsia"/>
          <w:szCs w:val="24"/>
        </w:rPr>
        <w:t>を実施する場合に、派遣元事業主から求めがあったときは、派遣労働者に対してもこれを実施する等必要な措置を講じ</w:t>
      </w:r>
      <w:r w:rsidR="00FD2C1F">
        <w:rPr>
          <w:rFonts w:ascii="メイリオ" w:eastAsia="メイリオ" w:hAnsi="メイリオ" w:hint="eastAsia"/>
          <w:szCs w:val="24"/>
        </w:rPr>
        <w:t>ていますか</w:t>
      </w:r>
      <w:r>
        <w:rPr>
          <w:rFonts w:ascii="メイリオ" w:eastAsia="メイリオ" w:hAnsi="メイリオ" w:hint="eastAsia"/>
          <w:szCs w:val="24"/>
        </w:rPr>
        <w:t>？</w:t>
      </w:r>
      <w:r w:rsidR="00660FD0">
        <w:rPr>
          <w:rFonts w:ascii="メイリオ" w:eastAsia="メイリオ" w:hAnsi="メイリオ" w:hint="eastAsia"/>
          <w:szCs w:val="24"/>
        </w:rPr>
        <w:t>（労働者派遣法第40条第２項）</w:t>
      </w:r>
    </w:p>
    <w:p w14:paraId="6DCBF076" w14:textId="70056947" w:rsidR="00FD2C1F" w:rsidRPr="00FD2C1F" w:rsidRDefault="00FD2C1F" w:rsidP="00FD2C1F">
      <w:pPr>
        <w:spacing w:line="440" w:lineRule="exact"/>
        <w:ind w:left="197" w:hangingChars="100" w:hanging="197"/>
        <w:jc w:val="left"/>
        <w:rPr>
          <w:rFonts w:hAnsi="ＭＳ ゴシック"/>
          <w:sz w:val="21"/>
          <w:szCs w:val="24"/>
        </w:rPr>
      </w:pPr>
      <w:r w:rsidRPr="00FD2C1F">
        <w:rPr>
          <w:rFonts w:hAnsi="ＭＳ ゴシック" w:hint="eastAsia"/>
          <w:sz w:val="21"/>
          <w:szCs w:val="24"/>
        </w:rPr>
        <w:t xml:space="preserve">　※派遣元事業主が実施可能な場合等を除く。</w:t>
      </w:r>
    </w:p>
    <w:p w14:paraId="7B00EAEC" w14:textId="359D6EE7" w:rsidR="00232B6F" w:rsidRDefault="00FD2C1F" w:rsidP="00FD2C1F">
      <w:pPr>
        <w:jc w:val="right"/>
        <w:rPr>
          <w:rFonts w:ascii="メイリオ" w:eastAsia="メイリオ" w:hAnsi="メイリオ" w:cs="Times New Roman"/>
          <w:b/>
          <w:szCs w:val="24"/>
          <w:u w:val="single"/>
        </w:rPr>
      </w:pPr>
      <w:r>
        <w:rPr>
          <w:rFonts w:ascii="メイリオ" w:eastAsia="メイリオ" w:hAnsi="メイリオ" w:cs="Times New Roman" w:hint="eastAsia"/>
          <w:b/>
          <w:szCs w:val="24"/>
          <w:u w:val="single"/>
        </w:rPr>
        <w:t>□講じている</w:t>
      </w:r>
      <w:r w:rsidRPr="008F0F8D">
        <w:rPr>
          <w:rFonts w:ascii="メイリオ" w:eastAsia="メイリオ" w:hAnsi="メイリオ" w:cs="Times New Roman" w:hint="eastAsia"/>
          <w:b/>
          <w:szCs w:val="24"/>
          <w:u w:val="single"/>
        </w:rPr>
        <w:t xml:space="preserve">　　□</w:t>
      </w:r>
      <w:r>
        <w:rPr>
          <w:rFonts w:ascii="メイリオ" w:eastAsia="メイリオ" w:hAnsi="メイリオ" w:cs="Times New Roman" w:hint="eastAsia"/>
          <w:b/>
          <w:szCs w:val="24"/>
          <w:u w:val="single"/>
        </w:rPr>
        <w:t>講じていない</w:t>
      </w:r>
    </w:p>
    <w:p w14:paraId="73B45627" w14:textId="685A05E2" w:rsidR="00FD2C1F" w:rsidRDefault="00FD2C1F" w:rsidP="00FD2C1F">
      <w:pPr>
        <w:jc w:val="right"/>
        <w:rPr>
          <w:rFonts w:ascii="メイリオ" w:eastAsia="メイリオ" w:hAnsi="メイリオ" w:cs="Times New Roman"/>
          <w:b/>
          <w:szCs w:val="24"/>
          <w:u w:val="single"/>
        </w:rPr>
      </w:pPr>
    </w:p>
    <w:p w14:paraId="60A0A8B5" w14:textId="0041166E" w:rsidR="00FD2C1F" w:rsidRDefault="00C24DDD" w:rsidP="00FD2C1F">
      <w:pPr>
        <w:spacing w:line="440" w:lineRule="exact"/>
        <w:ind w:left="227" w:hangingChars="100" w:hanging="227"/>
        <w:jc w:val="left"/>
        <w:rPr>
          <w:rFonts w:ascii="メイリオ" w:eastAsia="メイリオ" w:hAnsi="メイリオ"/>
          <w:szCs w:val="24"/>
        </w:rPr>
      </w:pPr>
      <w:r>
        <w:rPr>
          <w:rFonts w:ascii="メイリオ" w:eastAsia="メイリオ" w:hAnsi="メイリオ" w:hint="eastAsia"/>
          <w:szCs w:val="24"/>
        </w:rPr>
        <w:t>５</w:t>
      </w:r>
      <w:r w:rsidR="00FD2C1F" w:rsidRPr="00FD2C1F">
        <w:rPr>
          <w:rFonts w:ascii="メイリオ" w:eastAsia="メイリオ" w:hAnsi="メイリオ" w:hint="eastAsia"/>
          <w:szCs w:val="24"/>
        </w:rPr>
        <w:t xml:space="preserve">　</w:t>
      </w:r>
      <w:r w:rsidR="00FD2C1F">
        <w:rPr>
          <w:rFonts w:ascii="メイリオ" w:eastAsia="メイリオ" w:hAnsi="メイリオ" w:hint="eastAsia"/>
          <w:szCs w:val="24"/>
        </w:rPr>
        <w:t>派遣先の労働者が利用する</w:t>
      </w:r>
      <w:r w:rsidR="00FD2C1F" w:rsidRPr="00660FD0">
        <w:rPr>
          <w:rFonts w:ascii="メイリオ" w:eastAsia="メイリオ" w:hAnsi="メイリオ" w:hint="eastAsia"/>
          <w:b/>
          <w:color w:val="FF0000"/>
          <w:szCs w:val="24"/>
          <w:u w:val="single"/>
        </w:rPr>
        <w:t>給食施設、休憩室及び更衣室</w:t>
      </w:r>
      <w:r w:rsidR="00FD2C1F" w:rsidRPr="00FD2C1F">
        <w:rPr>
          <w:rFonts w:ascii="メイリオ" w:eastAsia="メイリオ" w:hAnsi="メイリオ" w:hint="eastAsia"/>
          <w:szCs w:val="24"/>
        </w:rPr>
        <w:t>の福利厚生施設について、派遣労働者に対しても利用</w:t>
      </w:r>
      <w:r w:rsidR="00C000E6">
        <w:rPr>
          <w:rFonts w:ascii="メイリオ" w:eastAsia="メイリオ" w:hAnsi="メイリオ" w:hint="eastAsia"/>
          <w:szCs w:val="24"/>
        </w:rPr>
        <w:t>の機会を与えていますか</w:t>
      </w:r>
      <w:r w:rsidR="00660FD0">
        <w:rPr>
          <w:rFonts w:ascii="メイリオ" w:eastAsia="メイリオ" w:hAnsi="メイリオ" w:hint="eastAsia"/>
          <w:szCs w:val="24"/>
        </w:rPr>
        <w:t>？（労働者派遣法第40条第３項）</w:t>
      </w:r>
    </w:p>
    <w:p w14:paraId="0E8CA72B" w14:textId="732057D5" w:rsidR="00FD2C1F" w:rsidRDefault="00FD2C1F" w:rsidP="00FD2C1F">
      <w:pPr>
        <w:jc w:val="right"/>
        <w:rPr>
          <w:rFonts w:ascii="メイリオ" w:eastAsia="メイリオ" w:hAnsi="メイリオ" w:cs="Times New Roman"/>
          <w:b/>
          <w:szCs w:val="24"/>
          <w:u w:val="single"/>
        </w:rPr>
      </w:pPr>
      <w:r>
        <w:rPr>
          <w:rFonts w:ascii="メイリオ" w:eastAsia="メイリオ" w:hAnsi="メイリオ" w:cs="Times New Roman" w:hint="eastAsia"/>
          <w:b/>
          <w:szCs w:val="24"/>
          <w:u w:val="single"/>
        </w:rPr>
        <w:t>□与えている</w:t>
      </w:r>
      <w:r w:rsidRPr="008F0F8D">
        <w:rPr>
          <w:rFonts w:ascii="メイリオ" w:eastAsia="メイリオ" w:hAnsi="メイリオ" w:cs="Times New Roman" w:hint="eastAsia"/>
          <w:b/>
          <w:szCs w:val="24"/>
          <w:u w:val="single"/>
        </w:rPr>
        <w:t xml:space="preserve">　　□</w:t>
      </w:r>
      <w:r>
        <w:rPr>
          <w:rFonts w:ascii="メイリオ" w:eastAsia="メイリオ" w:hAnsi="メイリオ" w:cs="Times New Roman" w:hint="eastAsia"/>
          <w:b/>
          <w:szCs w:val="24"/>
          <w:u w:val="single"/>
        </w:rPr>
        <w:t>与えていない</w:t>
      </w:r>
    </w:p>
    <w:p w14:paraId="1A9ECFE9" w14:textId="3AD677AC" w:rsidR="00FD2C1F" w:rsidRDefault="00FD2C1F" w:rsidP="00FD2C1F">
      <w:pPr>
        <w:spacing w:line="440" w:lineRule="exact"/>
        <w:ind w:left="227" w:hangingChars="100" w:hanging="227"/>
        <w:jc w:val="left"/>
        <w:rPr>
          <w:rFonts w:ascii="メイリオ" w:eastAsia="メイリオ" w:hAnsi="メイリオ"/>
          <w:szCs w:val="24"/>
        </w:rPr>
      </w:pPr>
    </w:p>
    <w:p w14:paraId="22EB08B9" w14:textId="75BBFFD4" w:rsidR="00FD2C1F" w:rsidRDefault="00C24DDD" w:rsidP="00FD2C1F">
      <w:pPr>
        <w:spacing w:line="440" w:lineRule="exact"/>
        <w:ind w:left="227" w:hangingChars="100" w:hanging="227"/>
        <w:jc w:val="left"/>
        <w:rPr>
          <w:rFonts w:ascii="メイリオ" w:eastAsia="メイリオ" w:hAnsi="メイリオ"/>
          <w:szCs w:val="24"/>
        </w:rPr>
      </w:pPr>
      <w:r>
        <w:rPr>
          <w:rFonts w:ascii="メイリオ" w:eastAsia="メイリオ" w:hAnsi="メイリオ" w:hint="eastAsia"/>
          <w:szCs w:val="24"/>
        </w:rPr>
        <w:t>６</w:t>
      </w:r>
      <w:r w:rsidR="00FD2C1F">
        <w:rPr>
          <w:rFonts w:ascii="メイリオ" w:eastAsia="メイリオ" w:hAnsi="メイリオ" w:hint="eastAsia"/>
          <w:szCs w:val="24"/>
        </w:rPr>
        <w:t xml:space="preserve">　</w:t>
      </w:r>
      <w:r w:rsidR="00FD2C1F" w:rsidRPr="00FD2C1F">
        <w:rPr>
          <w:rFonts w:ascii="メイリオ" w:eastAsia="メイリオ" w:hAnsi="メイリオ" w:hint="eastAsia"/>
          <w:szCs w:val="24"/>
        </w:rPr>
        <w:t>派遣先が設置・運営し、派遣先の労働者が通常利用している</w:t>
      </w:r>
      <w:r w:rsidR="00FD2C1F" w:rsidRPr="00660FD0">
        <w:rPr>
          <w:rFonts w:ascii="メイリオ" w:eastAsia="メイリオ" w:hAnsi="メイリオ" w:hint="eastAsia"/>
          <w:b/>
          <w:color w:val="FF0000"/>
          <w:szCs w:val="24"/>
          <w:u w:val="single"/>
        </w:rPr>
        <w:t>物品販売所、病院、診療所、浴場、理髪室、保育所、図書館、講堂、娯楽室、運動場、体育館、保養施設等の施設</w:t>
      </w:r>
      <w:r w:rsidR="00FD2C1F" w:rsidRPr="00FD2C1F">
        <w:rPr>
          <w:rFonts w:ascii="メイリオ" w:eastAsia="メイリオ" w:hAnsi="メイリオ" w:hint="eastAsia"/>
          <w:szCs w:val="24"/>
        </w:rPr>
        <w:t>の利用に関する便宜の供与の措置を講ずるよう配慮</w:t>
      </w:r>
      <w:r w:rsidR="00FD2C1F">
        <w:rPr>
          <w:rFonts w:ascii="メイリオ" w:eastAsia="メイリオ" w:hAnsi="メイリオ" w:hint="eastAsia"/>
          <w:szCs w:val="24"/>
        </w:rPr>
        <w:t>していますか</w:t>
      </w:r>
      <w:r>
        <w:rPr>
          <w:rFonts w:ascii="メイリオ" w:eastAsia="メイリオ" w:hAnsi="メイリオ" w:hint="eastAsia"/>
          <w:szCs w:val="24"/>
        </w:rPr>
        <w:t>？</w:t>
      </w:r>
      <w:r w:rsidR="00660FD0">
        <w:rPr>
          <w:rFonts w:ascii="メイリオ" w:eastAsia="メイリオ" w:hAnsi="メイリオ" w:hint="eastAsia"/>
          <w:szCs w:val="24"/>
        </w:rPr>
        <w:t>（労働者派遣法第40条第４項）</w:t>
      </w:r>
    </w:p>
    <w:p w14:paraId="2DA3EFA5" w14:textId="78BB9E00" w:rsidR="00FD2C1F" w:rsidRDefault="00FD2C1F" w:rsidP="00FD2C1F">
      <w:pPr>
        <w:jc w:val="right"/>
        <w:rPr>
          <w:rFonts w:ascii="メイリオ" w:eastAsia="メイリオ" w:hAnsi="メイリオ" w:cs="Times New Roman"/>
          <w:b/>
          <w:szCs w:val="24"/>
          <w:u w:val="single"/>
        </w:rPr>
      </w:pPr>
      <w:r>
        <w:rPr>
          <w:rFonts w:ascii="メイリオ" w:eastAsia="メイリオ" w:hAnsi="メイリオ" w:cs="Times New Roman" w:hint="eastAsia"/>
          <w:b/>
          <w:szCs w:val="24"/>
          <w:u w:val="single"/>
        </w:rPr>
        <w:t>□配慮している</w:t>
      </w:r>
      <w:r w:rsidRPr="008F0F8D">
        <w:rPr>
          <w:rFonts w:ascii="メイリオ" w:eastAsia="メイリオ" w:hAnsi="メイリオ" w:cs="Times New Roman" w:hint="eastAsia"/>
          <w:b/>
          <w:szCs w:val="24"/>
          <w:u w:val="single"/>
        </w:rPr>
        <w:t xml:space="preserve">　　□</w:t>
      </w:r>
      <w:r>
        <w:rPr>
          <w:rFonts w:ascii="メイリオ" w:eastAsia="メイリオ" w:hAnsi="メイリオ" w:cs="Times New Roman" w:hint="eastAsia"/>
          <w:b/>
          <w:szCs w:val="24"/>
          <w:u w:val="single"/>
        </w:rPr>
        <w:t>配慮していない</w:t>
      </w:r>
    </w:p>
    <w:p w14:paraId="487451E5" w14:textId="77777777" w:rsidR="00C24DDD" w:rsidRDefault="00C24DDD" w:rsidP="00FD2C1F">
      <w:pPr>
        <w:spacing w:line="440" w:lineRule="exact"/>
        <w:ind w:left="227" w:hangingChars="100" w:hanging="227"/>
        <w:jc w:val="left"/>
        <w:rPr>
          <w:rFonts w:ascii="メイリオ" w:eastAsia="メイリオ" w:hAnsi="メイリオ"/>
          <w:szCs w:val="24"/>
        </w:rPr>
      </w:pPr>
    </w:p>
    <w:p w14:paraId="2CCB81A8" w14:textId="77777777" w:rsidR="00C24DDD" w:rsidRDefault="00C24DDD" w:rsidP="00FD2C1F">
      <w:pPr>
        <w:spacing w:line="440" w:lineRule="exact"/>
        <w:ind w:left="227" w:hangingChars="100" w:hanging="227"/>
        <w:jc w:val="left"/>
        <w:rPr>
          <w:rFonts w:ascii="メイリオ" w:eastAsia="メイリオ" w:hAnsi="メイリオ"/>
          <w:szCs w:val="24"/>
        </w:rPr>
      </w:pPr>
    </w:p>
    <w:p w14:paraId="50FA0937" w14:textId="7B448568" w:rsidR="00FD2C1F" w:rsidRDefault="00C24DDD" w:rsidP="00FD2C1F">
      <w:pPr>
        <w:spacing w:line="440" w:lineRule="exact"/>
        <w:ind w:left="227" w:hangingChars="100" w:hanging="227"/>
        <w:jc w:val="left"/>
        <w:rPr>
          <w:rFonts w:ascii="メイリオ" w:eastAsia="メイリオ" w:hAnsi="メイリオ"/>
          <w:szCs w:val="24"/>
        </w:rPr>
      </w:pPr>
      <w:r>
        <w:rPr>
          <w:rFonts w:ascii="メイリオ" w:eastAsia="メイリオ" w:hAnsi="メイリオ" w:hint="eastAsia"/>
          <w:szCs w:val="24"/>
        </w:rPr>
        <w:lastRenderedPageBreak/>
        <w:t xml:space="preserve">７　</w:t>
      </w:r>
      <w:r w:rsidRPr="00C24DDD">
        <w:rPr>
          <w:rFonts w:ascii="メイリオ" w:eastAsia="メイリオ" w:hAnsi="メイリオ" w:hint="eastAsia"/>
          <w:szCs w:val="24"/>
        </w:rPr>
        <w:t>段階的・体系的な教育訓練、派遣先均等・均衡方式又は労使協定方式による待遇決定及び派遣労働者に対する待遇に関する事項等の説明が適切に講じられるようにするため、</w:t>
      </w:r>
      <w:r w:rsidRPr="005C793F">
        <w:rPr>
          <w:rFonts w:ascii="メイリオ" w:eastAsia="メイリオ" w:hAnsi="メイリオ" w:hint="eastAsia"/>
          <w:b/>
          <w:color w:val="FF0000"/>
          <w:szCs w:val="24"/>
          <w:u w:val="single"/>
        </w:rPr>
        <w:t>派遣元事業主の求めがあったとき</w:t>
      </w:r>
      <w:r w:rsidRPr="00C24DDD">
        <w:rPr>
          <w:rFonts w:ascii="メイリオ" w:eastAsia="メイリオ" w:hAnsi="メイリオ" w:hint="eastAsia"/>
          <w:szCs w:val="24"/>
        </w:rPr>
        <w:t>は、派遣先に雇用される労働者に関する情報、派遣労働者の業務の遂行の状況その他の情報であって</w:t>
      </w:r>
      <w:r w:rsidRPr="00DA482F">
        <w:rPr>
          <w:rFonts w:ascii="メイリオ" w:eastAsia="メイリオ" w:hAnsi="メイリオ" w:hint="eastAsia"/>
          <w:szCs w:val="24"/>
        </w:rPr>
        <w:t>必要なものを提供</w:t>
      </w:r>
      <w:r w:rsidRPr="00C24DDD">
        <w:rPr>
          <w:rFonts w:ascii="メイリオ" w:eastAsia="メイリオ" w:hAnsi="メイリオ" w:hint="eastAsia"/>
          <w:szCs w:val="24"/>
        </w:rPr>
        <w:t>する等</w:t>
      </w:r>
      <w:r w:rsidRPr="00DA482F">
        <w:rPr>
          <w:rFonts w:ascii="メイリオ" w:eastAsia="メイリオ" w:hAnsi="メイリオ" w:hint="eastAsia"/>
          <w:szCs w:val="24"/>
        </w:rPr>
        <w:t>必要な協力をするよう配慮</w:t>
      </w:r>
      <w:r>
        <w:rPr>
          <w:rFonts w:ascii="メイリオ" w:eastAsia="メイリオ" w:hAnsi="メイリオ" w:hint="eastAsia"/>
          <w:szCs w:val="24"/>
        </w:rPr>
        <w:t>していますか？（労働者派遣法第40条第５項）</w:t>
      </w:r>
    </w:p>
    <w:p w14:paraId="5C509FB0" w14:textId="77777777" w:rsidR="00C24DDD" w:rsidRDefault="00C24DDD" w:rsidP="00C24DDD">
      <w:pPr>
        <w:jc w:val="right"/>
        <w:rPr>
          <w:rFonts w:ascii="メイリオ" w:eastAsia="メイリオ" w:hAnsi="メイリオ" w:cs="Times New Roman"/>
          <w:b/>
          <w:szCs w:val="24"/>
          <w:u w:val="single"/>
        </w:rPr>
      </w:pPr>
      <w:r>
        <w:rPr>
          <w:rFonts w:ascii="メイリオ" w:eastAsia="メイリオ" w:hAnsi="メイリオ" w:cs="Times New Roman" w:hint="eastAsia"/>
          <w:b/>
          <w:szCs w:val="24"/>
          <w:u w:val="single"/>
        </w:rPr>
        <w:t>□配慮している</w:t>
      </w:r>
      <w:r w:rsidRPr="008F0F8D">
        <w:rPr>
          <w:rFonts w:ascii="メイリオ" w:eastAsia="メイリオ" w:hAnsi="メイリオ" w:cs="Times New Roman" w:hint="eastAsia"/>
          <w:b/>
          <w:szCs w:val="24"/>
          <w:u w:val="single"/>
        </w:rPr>
        <w:t xml:space="preserve">　　□</w:t>
      </w:r>
      <w:r>
        <w:rPr>
          <w:rFonts w:ascii="メイリオ" w:eastAsia="メイリオ" w:hAnsi="メイリオ" w:cs="Times New Roman" w:hint="eastAsia"/>
          <w:b/>
          <w:szCs w:val="24"/>
          <w:u w:val="single"/>
        </w:rPr>
        <w:t>配慮していない</w:t>
      </w:r>
    </w:p>
    <w:p w14:paraId="0EBECEC9" w14:textId="77777777" w:rsidR="00C24DDD" w:rsidRPr="00C24DDD" w:rsidRDefault="00C24DDD" w:rsidP="00FD2C1F">
      <w:pPr>
        <w:spacing w:line="440" w:lineRule="exact"/>
        <w:ind w:left="227" w:hangingChars="100" w:hanging="227"/>
        <w:jc w:val="left"/>
        <w:rPr>
          <w:rFonts w:ascii="メイリオ" w:eastAsia="メイリオ" w:hAnsi="メイリオ"/>
          <w:szCs w:val="24"/>
        </w:rPr>
      </w:pPr>
    </w:p>
    <w:sectPr w:rsidR="00C24DDD" w:rsidRPr="00C24DDD" w:rsidSect="005C793F">
      <w:headerReference w:type="even" r:id="rId10"/>
      <w:headerReference w:type="default" r:id="rId11"/>
      <w:footerReference w:type="even" r:id="rId12"/>
      <w:footerReference w:type="default" r:id="rId13"/>
      <w:headerReference w:type="first" r:id="rId14"/>
      <w:footerReference w:type="first" r:id="rId15"/>
      <w:pgSz w:w="11906" w:h="16838" w:code="9"/>
      <w:pgMar w:top="1276" w:right="1418" w:bottom="1134" w:left="1418" w:header="851" w:footer="992"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F434D" w14:textId="77777777" w:rsidR="00437BD1" w:rsidRDefault="00437BD1" w:rsidP="00BB2D72">
      <w:r>
        <w:separator/>
      </w:r>
    </w:p>
  </w:endnote>
  <w:endnote w:type="continuationSeparator" w:id="0">
    <w:p w14:paraId="7BA62DC0" w14:textId="77777777" w:rsidR="00437BD1" w:rsidRDefault="00437BD1" w:rsidP="00BB2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EEB03" w14:textId="77777777" w:rsidR="00382349" w:rsidRDefault="00382349">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8033367"/>
      <w:docPartObj>
        <w:docPartGallery w:val="Page Numbers (Bottom of Page)"/>
        <w:docPartUnique/>
      </w:docPartObj>
    </w:sdtPr>
    <w:sdtEndPr/>
    <w:sdtContent>
      <w:p w14:paraId="18A95790" w14:textId="293AF759" w:rsidR="005C793F" w:rsidRDefault="005C793F">
        <w:pPr>
          <w:pStyle w:val="a9"/>
          <w:jc w:val="center"/>
        </w:pPr>
        <w:r>
          <w:fldChar w:fldCharType="begin"/>
        </w:r>
        <w:r>
          <w:instrText>PAGE   \* MERGEFORMAT</w:instrText>
        </w:r>
        <w:r>
          <w:fldChar w:fldCharType="separate"/>
        </w:r>
        <w:r w:rsidR="00FF6B05" w:rsidRPr="00FF6B05">
          <w:rPr>
            <w:noProof/>
            <w:lang w:val="ja-JP"/>
          </w:rPr>
          <w:t>-</w:t>
        </w:r>
        <w:r w:rsidR="00FF6B05">
          <w:rPr>
            <w:noProof/>
          </w:rPr>
          <w:t xml:space="preserve"> 2 -</w:t>
        </w:r>
        <w:r>
          <w:fldChar w:fldCharType="end"/>
        </w:r>
      </w:p>
    </w:sdtContent>
  </w:sdt>
  <w:p w14:paraId="2496230A" w14:textId="77777777" w:rsidR="005C793F" w:rsidRDefault="005C793F">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AACA" w14:textId="77777777" w:rsidR="00382349" w:rsidRDefault="0038234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1B6E3" w14:textId="77777777" w:rsidR="00437BD1" w:rsidRDefault="00437BD1" w:rsidP="00BB2D72">
      <w:r>
        <w:separator/>
      </w:r>
    </w:p>
  </w:footnote>
  <w:footnote w:type="continuationSeparator" w:id="0">
    <w:p w14:paraId="359EF31C" w14:textId="77777777" w:rsidR="00437BD1" w:rsidRDefault="00437BD1" w:rsidP="00BB2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3F9D6" w14:textId="77777777" w:rsidR="00382349" w:rsidRDefault="00382349">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F6E86" w14:textId="77777777" w:rsidR="00382349" w:rsidRDefault="00382349">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3D61B" w14:textId="77777777" w:rsidR="00382349" w:rsidRDefault="00382349">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A63"/>
    <w:rsid w:val="00016209"/>
    <w:rsid w:val="00052A74"/>
    <w:rsid w:val="000A3030"/>
    <w:rsid w:val="000C231F"/>
    <w:rsid w:val="000C5136"/>
    <w:rsid w:val="000C52C5"/>
    <w:rsid w:val="000E2445"/>
    <w:rsid w:val="000E679A"/>
    <w:rsid w:val="000E7ACF"/>
    <w:rsid w:val="00154421"/>
    <w:rsid w:val="001712E6"/>
    <w:rsid w:val="001A023E"/>
    <w:rsid w:val="001A324E"/>
    <w:rsid w:val="001B4B76"/>
    <w:rsid w:val="001C4192"/>
    <w:rsid w:val="001F235F"/>
    <w:rsid w:val="00213C73"/>
    <w:rsid w:val="00232B6F"/>
    <w:rsid w:val="002648BD"/>
    <w:rsid w:val="00270C7E"/>
    <w:rsid w:val="00280013"/>
    <w:rsid w:val="002A5DBF"/>
    <w:rsid w:val="002B68E8"/>
    <w:rsid w:val="002C0074"/>
    <w:rsid w:val="002E664D"/>
    <w:rsid w:val="00346340"/>
    <w:rsid w:val="00347A59"/>
    <w:rsid w:val="00382349"/>
    <w:rsid w:val="003960AF"/>
    <w:rsid w:val="003B0406"/>
    <w:rsid w:val="00411989"/>
    <w:rsid w:val="00417BD7"/>
    <w:rsid w:val="00437BD1"/>
    <w:rsid w:val="00465C82"/>
    <w:rsid w:val="0049158C"/>
    <w:rsid w:val="00494439"/>
    <w:rsid w:val="00503420"/>
    <w:rsid w:val="005619E2"/>
    <w:rsid w:val="00573E80"/>
    <w:rsid w:val="005A5382"/>
    <w:rsid w:val="005C793F"/>
    <w:rsid w:val="005D5036"/>
    <w:rsid w:val="00660FD0"/>
    <w:rsid w:val="00681AC6"/>
    <w:rsid w:val="006B4675"/>
    <w:rsid w:val="006C02CE"/>
    <w:rsid w:val="00702306"/>
    <w:rsid w:val="00723B00"/>
    <w:rsid w:val="00727F4A"/>
    <w:rsid w:val="00763F97"/>
    <w:rsid w:val="007755BA"/>
    <w:rsid w:val="007915E6"/>
    <w:rsid w:val="007938A2"/>
    <w:rsid w:val="007B4B4A"/>
    <w:rsid w:val="007B69DC"/>
    <w:rsid w:val="007F4905"/>
    <w:rsid w:val="00811166"/>
    <w:rsid w:val="00815BEB"/>
    <w:rsid w:val="00825F24"/>
    <w:rsid w:val="00831539"/>
    <w:rsid w:val="008474F1"/>
    <w:rsid w:val="0085145B"/>
    <w:rsid w:val="00864DA1"/>
    <w:rsid w:val="008B60C9"/>
    <w:rsid w:val="008C76DE"/>
    <w:rsid w:val="008D4BCC"/>
    <w:rsid w:val="008E59C9"/>
    <w:rsid w:val="008F0F8D"/>
    <w:rsid w:val="00901824"/>
    <w:rsid w:val="00917244"/>
    <w:rsid w:val="00951F98"/>
    <w:rsid w:val="009705CA"/>
    <w:rsid w:val="00994400"/>
    <w:rsid w:val="009F015A"/>
    <w:rsid w:val="00A4387F"/>
    <w:rsid w:val="00AA7EF8"/>
    <w:rsid w:val="00AB32A5"/>
    <w:rsid w:val="00AF25A4"/>
    <w:rsid w:val="00AF7C0D"/>
    <w:rsid w:val="00B15579"/>
    <w:rsid w:val="00B4215E"/>
    <w:rsid w:val="00B45EA7"/>
    <w:rsid w:val="00B56897"/>
    <w:rsid w:val="00B81022"/>
    <w:rsid w:val="00BA0A37"/>
    <w:rsid w:val="00BB2D72"/>
    <w:rsid w:val="00BC0FBB"/>
    <w:rsid w:val="00BC2318"/>
    <w:rsid w:val="00BC74B7"/>
    <w:rsid w:val="00C000E6"/>
    <w:rsid w:val="00C24DDD"/>
    <w:rsid w:val="00C44A26"/>
    <w:rsid w:val="00C51C21"/>
    <w:rsid w:val="00C7124E"/>
    <w:rsid w:val="00CD134D"/>
    <w:rsid w:val="00CD1DE9"/>
    <w:rsid w:val="00CE5F33"/>
    <w:rsid w:val="00D03331"/>
    <w:rsid w:val="00D05082"/>
    <w:rsid w:val="00D11549"/>
    <w:rsid w:val="00D34C45"/>
    <w:rsid w:val="00D624F4"/>
    <w:rsid w:val="00D719A6"/>
    <w:rsid w:val="00DA482F"/>
    <w:rsid w:val="00DF2839"/>
    <w:rsid w:val="00E02589"/>
    <w:rsid w:val="00E223CA"/>
    <w:rsid w:val="00E24049"/>
    <w:rsid w:val="00E33EAE"/>
    <w:rsid w:val="00E407EB"/>
    <w:rsid w:val="00E51F12"/>
    <w:rsid w:val="00E554C5"/>
    <w:rsid w:val="00E8127C"/>
    <w:rsid w:val="00EB4B43"/>
    <w:rsid w:val="00EC136E"/>
    <w:rsid w:val="00EE748F"/>
    <w:rsid w:val="00F02D07"/>
    <w:rsid w:val="00F100A0"/>
    <w:rsid w:val="00F268F8"/>
    <w:rsid w:val="00F5702C"/>
    <w:rsid w:val="00F77A63"/>
    <w:rsid w:val="00F841C3"/>
    <w:rsid w:val="00FA5846"/>
    <w:rsid w:val="00FD2C1F"/>
    <w:rsid w:val="00FD459B"/>
    <w:rsid w:val="00FF503C"/>
    <w:rsid w:val="00FF6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4A0A0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445"/>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1F9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51F98"/>
    <w:rPr>
      <w:rFonts w:asciiTheme="majorHAnsi" w:eastAsiaTheme="majorEastAsia" w:hAnsiTheme="majorHAnsi" w:cstheme="majorBidi"/>
      <w:sz w:val="18"/>
      <w:szCs w:val="18"/>
    </w:rPr>
  </w:style>
  <w:style w:type="table" w:styleId="a5">
    <w:name w:val="Table Grid"/>
    <w:basedOn w:val="a1"/>
    <w:uiPriority w:val="39"/>
    <w:rsid w:val="00951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11549"/>
    <w:rPr>
      <w:color w:val="0563C1" w:themeColor="hyperlink"/>
      <w:u w:val="single"/>
    </w:rPr>
  </w:style>
  <w:style w:type="paragraph" w:styleId="Web">
    <w:name w:val="Normal (Web)"/>
    <w:basedOn w:val="a"/>
    <w:uiPriority w:val="99"/>
    <w:semiHidden/>
    <w:unhideWhenUsed/>
    <w:rsid w:val="003960A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7">
    <w:name w:val="header"/>
    <w:basedOn w:val="a"/>
    <w:link w:val="a8"/>
    <w:uiPriority w:val="99"/>
    <w:unhideWhenUsed/>
    <w:rsid w:val="00BB2D72"/>
    <w:pPr>
      <w:tabs>
        <w:tab w:val="center" w:pos="4252"/>
        <w:tab w:val="right" w:pos="8504"/>
      </w:tabs>
      <w:snapToGrid w:val="0"/>
    </w:pPr>
  </w:style>
  <w:style w:type="character" w:customStyle="1" w:styleId="a8">
    <w:name w:val="ヘッダー (文字)"/>
    <w:basedOn w:val="a0"/>
    <w:link w:val="a7"/>
    <w:uiPriority w:val="99"/>
    <w:rsid w:val="00BB2D72"/>
    <w:rPr>
      <w:rFonts w:ascii="ＭＳ ゴシック" w:eastAsia="ＭＳ ゴシック"/>
      <w:sz w:val="24"/>
    </w:rPr>
  </w:style>
  <w:style w:type="paragraph" w:styleId="a9">
    <w:name w:val="footer"/>
    <w:basedOn w:val="a"/>
    <w:link w:val="aa"/>
    <w:uiPriority w:val="99"/>
    <w:unhideWhenUsed/>
    <w:rsid w:val="00BB2D72"/>
    <w:pPr>
      <w:tabs>
        <w:tab w:val="center" w:pos="4252"/>
        <w:tab w:val="right" w:pos="8504"/>
      </w:tabs>
      <w:snapToGrid w:val="0"/>
    </w:pPr>
  </w:style>
  <w:style w:type="character" w:customStyle="1" w:styleId="aa">
    <w:name w:val="フッター (文字)"/>
    <w:basedOn w:val="a0"/>
    <w:link w:val="a9"/>
    <w:uiPriority w:val="99"/>
    <w:rsid w:val="00BB2D72"/>
    <w:rPr>
      <w:rFonts w:ascii="ＭＳ ゴシック" w:eastAsia="ＭＳ ゴシック"/>
      <w:sz w:val="24"/>
    </w:rPr>
  </w:style>
  <w:style w:type="character" w:styleId="ab">
    <w:name w:val="annotation reference"/>
    <w:basedOn w:val="a0"/>
    <w:uiPriority w:val="99"/>
    <w:semiHidden/>
    <w:unhideWhenUsed/>
    <w:rsid w:val="000E679A"/>
    <w:rPr>
      <w:sz w:val="18"/>
      <w:szCs w:val="18"/>
    </w:rPr>
  </w:style>
  <w:style w:type="paragraph" w:styleId="ac">
    <w:name w:val="annotation text"/>
    <w:basedOn w:val="a"/>
    <w:link w:val="ad"/>
    <w:uiPriority w:val="99"/>
    <w:semiHidden/>
    <w:unhideWhenUsed/>
    <w:rsid w:val="000E679A"/>
    <w:pPr>
      <w:jc w:val="left"/>
    </w:pPr>
  </w:style>
  <w:style w:type="character" w:customStyle="1" w:styleId="ad">
    <w:name w:val="コメント文字列 (文字)"/>
    <w:basedOn w:val="a0"/>
    <w:link w:val="ac"/>
    <w:uiPriority w:val="99"/>
    <w:semiHidden/>
    <w:rsid w:val="000E679A"/>
    <w:rPr>
      <w:rFonts w:ascii="ＭＳ ゴシック" w:eastAsia="ＭＳ ゴシック"/>
      <w:sz w:val="24"/>
    </w:rPr>
  </w:style>
  <w:style w:type="paragraph" w:styleId="ae">
    <w:name w:val="annotation subject"/>
    <w:basedOn w:val="ac"/>
    <w:next w:val="ac"/>
    <w:link w:val="af"/>
    <w:uiPriority w:val="99"/>
    <w:semiHidden/>
    <w:unhideWhenUsed/>
    <w:rsid w:val="000E679A"/>
    <w:rPr>
      <w:b/>
      <w:bCs/>
    </w:rPr>
  </w:style>
  <w:style w:type="character" w:customStyle="1" w:styleId="af">
    <w:name w:val="コメント内容 (文字)"/>
    <w:basedOn w:val="ad"/>
    <w:link w:val="ae"/>
    <w:uiPriority w:val="99"/>
    <w:semiHidden/>
    <w:rsid w:val="000E679A"/>
    <w:rPr>
      <w:rFonts w:ascii="ＭＳ ゴシック" w:eastAsia="ＭＳ ゴシック"/>
      <w:b/>
      <w:bCs/>
      <w:sz w:val="24"/>
    </w:rPr>
  </w:style>
  <w:style w:type="character" w:styleId="af0">
    <w:name w:val="FollowedHyperlink"/>
    <w:basedOn w:val="a0"/>
    <w:uiPriority w:val="99"/>
    <w:semiHidden/>
    <w:unhideWhenUsed/>
    <w:rsid w:val="009172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22425">
      <w:bodyDiv w:val="1"/>
      <w:marLeft w:val="0"/>
      <w:marRight w:val="0"/>
      <w:marTop w:val="0"/>
      <w:marBottom w:val="0"/>
      <w:divBdr>
        <w:top w:val="none" w:sz="0" w:space="0" w:color="auto"/>
        <w:left w:val="none" w:sz="0" w:space="0" w:color="auto"/>
        <w:bottom w:val="none" w:sz="0" w:space="0" w:color="auto"/>
        <w:right w:val="none" w:sz="0" w:space="0" w:color="auto"/>
      </w:divBdr>
      <w:divsChild>
        <w:div w:id="1143736282">
          <w:marLeft w:val="274"/>
          <w:marRight w:val="0"/>
          <w:marTop w:val="240"/>
          <w:marBottom w:val="0"/>
          <w:divBdr>
            <w:top w:val="none" w:sz="0" w:space="0" w:color="auto"/>
            <w:left w:val="none" w:sz="0" w:space="0" w:color="auto"/>
            <w:bottom w:val="none" w:sz="0" w:space="0" w:color="auto"/>
            <w:right w:val="none" w:sz="0" w:space="0" w:color="auto"/>
          </w:divBdr>
        </w:div>
        <w:div w:id="1549074869">
          <w:marLeft w:val="274"/>
          <w:marRight w:val="0"/>
          <w:marTop w:val="240"/>
          <w:marBottom w:val="0"/>
          <w:divBdr>
            <w:top w:val="none" w:sz="0" w:space="0" w:color="auto"/>
            <w:left w:val="none" w:sz="0" w:space="0" w:color="auto"/>
            <w:bottom w:val="none" w:sz="0" w:space="0" w:color="auto"/>
            <w:right w:val="none" w:sz="0" w:space="0" w:color="auto"/>
          </w:divBdr>
        </w:div>
      </w:divsChild>
    </w:div>
    <w:div w:id="684333290">
      <w:bodyDiv w:val="1"/>
      <w:marLeft w:val="0"/>
      <w:marRight w:val="0"/>
      <w:marTop w:val="0"/>
      <w:marBottom w:val="0"/>
      <w:divBdr>
        <w:top w:val="none" w:sz="0" w:space="0" w:color="auto"/>
        <w:left w:val="none" w:sz="0" w:space="0" w:color="auto"/>
        <w:bottom w:val="none" w:sz="0" w:space="0" w:color="auto"/>
        <w:right w:val="none" w:sz="0" w:space="0" w:color="auto"/>
      </w:divBdr>
    </w:div>
    <w:div w:id="881551900">
      <w:bodyDiv w:val="1"/>
      <w:marLeft w:val="0"/>
      <w:marRight w:val="0"/>
      <w:marTop w:val="0"/>
      <w:marBottom w:val="0"/>
      <w:divBdr>
        <w:top w:val="none" w:sz="0" w:space="0" w:color="auto"/>
        <w:left w:val="none" w:sz="0" w:space="0" w:color="auto"/>
        <w:bottom w:val="none" w:sz="0" w:space="0" w:color="auto"/>
        <w:right w:val="none" w:sz="0" w:space="0" w:color="auto"/>
      </w:divBdr>
    </w:div>
    <w:div w:id="1018236068">
      <w:bodyDiv w:val="1"/>
      <w:marLeft w:val="0"/>
      <w:marRight w:val="0"/>
      <w:marTop w:val="0"/>
      <w:marBottom w:val="0"/>
      <w:divBdr>
        <w:top w:val="none" w:sz="0" w:space="0" w:color="auto"/>
        <w:left w:val="none" w:sz="0" w:space="0" w:color="auto"/>
        <w:bottom w:val="none" w:sz="0" w:space="0" w:color="auto"/>
        <w:right w:val="none" w:sz="0" w:space="0" w:color="auto"/>
      </w:divBdr>
    </w:div>
    <w:div w:id="102521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1.xml" Type="http://schemas.openxmlformats.org/officeDocument/2006/relationships/header"/><Relationship Id="rId11" Target="header2.xml" Type="http://schemas.openxmlformats.org/officeDocument/2006/relationships/header"/><Relationship Id="rId12" Target="footer1.xml" Type="http://schemas.openxmlformats.org/officeDocument/2006/relationships/footer"/><Relationship Id="rId13" Target="footer2.xml" Type="http://schemas.openxmlformats.org/officeDocument/2006/relationships/footer"/><Relationship Id="rId14" Target="header3.xml" Type="http://schemas.openxmlformats.org/officeDocument/2006/relationships/header"/><Relationship Id="rId15" Target="footer3.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ttps://www.mhlw.go.jp/content/000776592.pdf" TargetMode="External" Type="http://schemas.openxmlformats.org/officeDocument/2006/relationships/hyperlink"/><Relationship Id="rId7" Target="https://www.mhlw.go.jp/content/000594124.pdf" TargetMode="External" Type="http://schemas.openxmlformats.org/officeDocument/2006/relationships/hyperlink"/><Relationship Id="rId8" Target="https://www.mhlw.go.jp/content/000776572.pdf" TargetMode="External" Type="http://schemas.openxmlformats.org/officeDocument/2006/relationships/hyperlink"/><Relationship Id="rId9" Target="https://www.mhlw.go.jp/content/000776559.pdf"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4</Pages>
  <Words>447</Words>
  <Characters>2552</Characters>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2994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