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BC1BA3">
              <w:rPr>
                <w:rFonts w:hAnsi="ＭＳ 明朝" w:hint="eastAsia"/>
                <w:w w:val="89"/>
                <w:kern w:val="0"/>
                <w:sz w:val="18"/>
                <w:szCs w:val="18"/>
                <w:fitText w:val="2100" w:id="-2101505021"/>
              </w:rPr>
              <w:t>労働させることができる休</w:t>
            </w:r>
            <w:r w:rsidRPr="00BC1BA3">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1BA3"/>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396</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2020-12-23T23:48:00Z</dcterms:created>
  <dcterms:modified xsi:type="dcterms:W3CDTF">2020-12-23T23:48:00Z</dcterms:modified>
</cp:coreProperties>
</file>