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8D" w:rsidRPr="00180524" w:rsidRDefault="00DF20B6" w:rsidP="00180524">
      <w:pPr>
        <w:jc w:val="center"/>
        <w:rPr>
          <w:b/>
          <w:sz w:val="28"/>
          <w:szCs w:val="28"/>
        </w:rPr>
      </w:pPr>
      <w:r>
        <w:rPr>
          <w:rFonts w:hint="eastAsia"/>
          <w:b/>
          <w:bCs/>
          <w:noProof/>
          <w:sz w:val="28"/>
          <w:szCs w:val="28"/>
        </w:rPr>
        <mc:AlternateContent>
          <mc:Choice Requires="wps">
            <w:drawing>
              <wp:anchor distT="0" distB="0" distL="114300" distR="114300" simplePos="0" relativeHeight="251659264" behindDoc="0" locked="0" layoutInCell="1" allowOverlap="1">
                <wp:simplePos x="0" y="0"/>
                <wp:positionH relativeFrom="margin">
                  <wp:posOffset>-240030</wp:posOffset>
                </wp:positionH>
                <wp:positionV relativeFrom="paragraph">
                  <wp:posOffset>-83185</wp:posOffset>
                </wp:positionV>
                <wp:extent cx="6705600" cy="798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05600" cy="7981950"/>
                        </a:xfrm>
                        <a:prstGeom prst="rect">
                          <a:avLst/>
                        </a:prstGeom>
                        <a:noFill/>
                        <a:ln w="19050">
                          <a:solidFill>
                            <a:srgbClr val="70AD47"/>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D53FD" id="正方形/長方形 1" o:spid="_x0000_s1026" style="position:absolute;left:0;text-align:left;margin-left:-18.9pt;margin-top:-6.55pt;width:528pt;height:6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" filled="f" strokecolor="#70ad47" strokeweight="1.5pt">
                <w10:wrap anchorx="margin"/>
              </v:rect>
            </w:pict>
          </mc:Fallback>
        </mc:AlternateContent>
      </w:r>
      <w:r w:rsidR="007B1C8D" w:rsidRPr="00180524">
        <w:rPr>
          <w:rFonts w:hint="eastAsia"/>
          <w:b/>
          <w:bCs/>
          <w:sz w:val="28"/>
          <w:szCs w:val="28"/>
        </w:rPr>
        <w:t>事業内職業能力開発計画（記載例）</w:t>
      </w:r>
    </w:p>
    <w:p w:rsidR="007B1C8D" w:rsidRPr="007B1C8D" w:rsidRDefault="007B1C8D" w:rsidP="007B1C8D">
      <w:r w:rsidRPr="007B1C8D">
        <w:rPr>
          <w:rFonts w:hint="eastAsia"/>
        </w:rPr>
        <w:t> </w:t>
      </w:r>
    </w:p>
    <w:p w:rsidR="007B1C8D" w:rsidRPr="00180524" w:rsidRDefault="007B1C8D" w:rsidP="005B746B">
      <w:pPr>
        <w:spacing w:line="400" w:lineRule="exact"/>
        <w:ind w:firstLineChars="3000" w:firstLine="7200"/>
        <w:rPr>
          <w:sz w:val="24"/>
          <w:szCs w:val="24"/>
        </w:rPr>
      </w:pPr>
      <w:r w:rsidRPr="00180524">
        <w:rPr>
          <w:rFonts w:hint="eastAsia"/>
          <w:sz w:val="24"/>
          <w:szCs w:val="24"/>
        </w:rPr>
        <w:t>令和○年○月作成</w:t>
      </w:r>
    </w:p>
    <w:p w:rsidR="007B1C8D" w:rsidRPr="00180524" w:rsidRDefault="00632189" w:rsidP="00632189">
      <w:pPr>
        <w:spacing w:line="400" w:lineRule="exact"/>
        <w:ind w:firstLineChars="3100" w:firstLine="7440"/>
        <w:rPr>
          <w:sz w:val="24"/>
          <w:szCs w:val="24"/>
        </w:rPr>
      </w:pPr>
      <w:r>
        <w:rPr>
          <w:rFonts w:hint="eastAsia"/>
          <w:sz w:val="24"/>
          <w:szCs w:val="24"/>
        </w:rPr>
        <w:t>○</w:t>
      </w:r>
      <w:r w:rsidR="007B1C8D" w:rsidRPr="00180524">
        <w:rPr>
          <w:rFonts w:hint="eastAsia"/>
          <w:sz w:val="24"/>
          <w:szCs w:val="24"/>
        </w:rPr>
        <w:t>○○株式会社</w:t>
      </w:r>
    </w:p>
    <w:p w:rsidR="007B1C8D" w:rsidRPr="00180524" w:rsidRDefault="007B1C8D" w:rsidP="00423995">
      <w:pPr>
        <w:spacing w:line="440" w:lineRule="exact"/>
        <w:rPr>
          <w:sz w:val="24"/>
          <w:szCs w:val="24"/>
        </w:rPr>
      </w:pPr>
      <w:r w:rsidRPr="00180524">
        <w:rPr>
          <w:rFonts w:hint="eastAsia"/>
          <w:b/>
          <w:bCs/>
          <w:sz w:val="24"/>
          <w:szCs w:val="24"/>
        </w:rPr>
        <w:t>１．経営理念及び経営方針に関する事項</w:t>
      </w:r>
    </w:p>
    <w:p w:rsidR="007B1C8D" w:rsidRPr="00180524" w:rsidRDefault="007B1C8D" w:rsidP="00423995">
      <w:pPr>
        <w:spacing w:line="440" w:lineRule="exact"/>
        <w:rPr>
          <w:sz w:val="24"/>
          <w:szCs w:val="24"/>
        </w:rPr>
      </w:pPr>
      <w:r w:rsidRPr="00180524">
        <w:rPr>
          <w:rFonts w:hint="eastAsia"/>
          <w:sz w:val="24"/>
          <w:szCs w:val="24"/>
        </w:rPr>
        <w:t xml:space="preserve">　（経営理念）</w:t>
      </w:r>
    </w:p>
    <w:p w:rsidR="007B1C8D" w:rsidRPr="00180524" w:rsidRDefault="007B1C8D" w:rsidP="00423995">
      <w:pPr>
        <w:spacing w:line="440" w:lineRule="exact"/>
        <w:rPr>
          <w:sz w:val="24"/>
          <w:szCs w:val="24"/>
        </w:rPr>
      </w:pPr>
      <w:r w:rsidRPr="00180524">
        <w:rPr>
          <w:rFonts w:hint="eastAsia"/>
          <w:sz w:val="24"/>
          <w:szCs w:val="24"/>
        </w:rPr>
        <w:t>＜例＞製品を通じて社会に必要とされる企業（法令遵守・品質経営・環境経営）であること。</w:t>
      </w:r>
    </w:p>
    <w:p w:rsidR="007B1C8D" w:rsidRPr="00180524" w:rsidRDefault="007B1C8D" w:rsidP="00423995">
      <w:pPr>
        <w:spacing w:line="440" w:lineRule="exact"/>
        <w:rPr>
          <w:sz w:val="24"/>
          <w:szCs w:val="24"/>
        </w:rPr>
      </w:pPr>
      <w:r w:rsidRPr="00180524">
        <w:rPr>
          <w:rFonts w:hint="eastAsia"/>
          <w:sz w:val="24"/>
          <w:szCs w:val="24"/>
        </w:rPr>
        <w:t xml:space="preserve">　（経営方針）</w:t>
      </w:r>
    </w:p>
    <w:p w:rsidR="007B1C8D" w:rsidRPr="00180524" w:rsidRDefault="007B1C8D" w:rsidP="00423995">
      <w:pPr>
        <w:spacing w:line="440" w:lineRule="exact"/>
        <w:rPr>
          <w:sz w:val="24"/>
          <w:szCs w:val="24"/>
        </w:rPr>
      </w:pPr>
      <w:r w:rsidRPr="00180524">
        <w:rPr>
          <w:rFonts w:hint="eastAsia"/>
          <w:sz w:val="24"/>
          <w:szCs w:val="24"/>
        </w:rPr>
        <w:t>＜例＞よりよいものをお客様に提供する。</w:t>
      </w:r>
    </w:p>
    <w:p w:rsidR="007B1C8D" w:rsidRPr="00180524" w:rsidRDefault="007B1C8D" w:rsidP="00423995">
      <w:pPr>
        <w:spacing w:line="440" w:lineRule="exact"/>
        <w:rPr>
          <w:sz w:val="24"/>
          <w:szCs w:val="24"/>
        </w:rPr>
      </w:pPr>
      <w:r w:rsidRPr="00180524">
        <w:rPr>
          <w:rFonts w:hint="eastAsia"/>
          <w:sz w:val="24"/>
          <w:szCs w:val="24"/>
        </w:rPr>
        <w:t>  </w:t>
      </w:r>
    </w:p>
    <w:p w:rsidR="00632189" w:rsidRDefault="007B1C8D" w:rsidP="00423995">
      <w:pPr>
        <w:spacing w:line="440" w:lineRule="exact"/>
        <w:rPr>
          <w:b/>
          <w:bCs/>
          <w:sz w:val="24"/>
          <w:szCs w:val="24"/>
        </w:rPr>
      </w:pPr>
      <w:r w:rsidRPr="00180524">
        <w:rPr>
          <w:rFonts w:hint="eastAsia"/>
          <w:b/>
          <w:bCs/>
          <w:sz w:val="24"/>
          <w:szCs w:val="24"/>
        </w:rPr>
        <w:t>２．職業に必要な基礎的な能力の開発及び向上を促進するための措置に関する事項並びに</w:t>
      </w:r>
    </w:p>
    <w:p w:rsidR="007B1C8D" w:rsidRPr="00180524" w:rsidRDefault="007B1C8D" w:rsidP="00423995">
      <w:pPr>
        <w:spacing w:line="440" w:lineRule="exact"/>
        <w:ind w:firstLineChars="200" w:firstLine="471"/>
        <w:rPr>
          <w:sz w:val="24"/>
          <w:szCs w:val="24"/>
        </w:rPr>
      </w:pPr>
      <w:r w:rsidRPr="00180524">
        <w:rPr>
          <w:rFonts w:hint="eastAsia"/>
          <w:b/>
          <w:bCs/>
          <w:sz w:val="24"/>
          <w:szCs w:val="24"/>
        </w:rPr>
        <w:t>職業能力の開発及び向上を促進するための措置に関する事項</w:t>
      </w:r>
    </w:p>
    <w:p w:rsidR="007B1C8D" w:rsidRPr="00180524" w:rsidRDefault="007B1C8D" w:rsidP="00423995">
      <w:pPr>
        <w:spacing w:line="440" w:lineRule="exact"/>
        <w:rPr>
          <w:sz w:val="24"/>
          <w:szCs w:val="24"/>
        </w:rPr>
      </w:pPr>
      <w:r w:rsidRPr="00180524">
        <w:rPr>
          <w:rFonts w:hint="eastAsia"/>
          <w:sz w:val="24"/>
          <w:szCs w:val="24"/>
        </w:rPr>
        <w:t xml:space="preserve">　（人事育成の基本方針や目標）</w:t>
      </w:r>
    </w:p>
    <w:p w:rsidR="007B1C8D" w:rsidRPr="00180524" w:rsidRDefault="007B1C8D" w:rsidP="00423995">
      <w:pPr>
        <w:spacing w:line="440" w:lineRule="exact"/>
        <w:rPr>
          <w:sz w:val="24"/>
          <w:szCs w:val="24"/>
        </w:rPr>
      </w:pPr>
      <w:r w:rsidRPr="00180524">
        <w:rPr>
          <w:rFonts w:hint="eastAsia"/>
          <w:sz w:val="24"/>
          <w:szCs w:val="24"/>
        </w:rPr>
        <w:t>＜例１＞自ら専門性を磨き、高い職務能力を持った人材を育成する。</w:t>
      </w:r>
    </w:p>
    <w:p w:rsidR="007B1C8D" w:rsidRPr="00180524" w:rsidRDefault="007B1C8D" w:rsidP="00423995">
      <w:pPr>
        <w:spacing w:line="440" w:lineRule="exact"/>
        <w:rPr>
          <w:sz w:val="24"/>
          <w:szCs w:val="24"/>
        </w:rPr>
      </w:pPr>
      <w:r w:rsidRPr="00180524">
        <w:rPr>
          <w:rFonts w:hint="eastAsia"/>
          <w:sz w:val="24"/>
          <w:szCs w:val="24"/>
        </w:rPr>
        <w:t>＜例２＞品質向上のため、積極的に挑戦できる人材を育成する。</w:t>
      </w:r>
    </w:p>
    <w:p w:rsidR="007B1C8D" w:rsidRPr="00180524" w:rsidRDefault="007B1C8D" w:rsidP="00423995">
      <w:pPr>
        <w:spacing w:line="440" w:lineRule="exact"/>
        <w:rPr>
          <w:sz w:val="24"/>
          <w:szCs w:val="24"/>
        </w:rPr>
      </w:pPr>
      <w:r w:rsidRPr="00180524">
        <w:rPr>
          <w:rFonts w:hint="eastAsia"/>
          <w:sz w:val="24"/>
          <w:szCs w:val="24"/>
        </w:rPr>
        <w:t>＜例３＞目標のため今何をすべきかを考え実践できる人材を育成する。</w:t>
      </w:r>
    </w:p>
    <w:p w:rsidR="007B1C8D" w:rsidRPr="00180524" w:rsidRDefault="007B1C8D" w:rsidP="00423995">
      <w:pPr>
        <w:spacing w:line="440" w:lineRule="exact"/>
        <w:rPr>
          <w:sz w:val="24"/>
          <w:szCs w:val="24"/>
        </w:rPr>
      </w:pPr>
      <w:r w:rsidRPr="00180524">
        <w:rPr>
          <w:rFonts w:hint="eastAsia"/>
          <w:sz w:val="24"/>
          <w:szCs w:val="24"/>
        </w:rPr>
        <w:t>＜例４＞自社内のＤＸ推進のため情報技術等の人材を育成する。</w:t>
      </w:r>
      <w:r w:rsidRPr="00180524">
        <w:rPr>
          <w:rFonts w:hint="eastAsia"/>
          <w:b/>
          <w:bCs/>
          <w:sz w:val="24"/>
          <w:szCs w:val="24"/>
        </w:rPr>
        <w:t>（※１）</w:t>
      </w:r>
    </w:p>
    <w:p w:rsidR="007B1C8D" w:rsidRPr="00180524" w:rsidRDefault="007B1C8D" w:rsidP="00423995">
      <w:pPr>
        <w:spacing w:line="440" w:lineRule="exact"/>
        <w:ind w:left="960" w:hangingChars="400" w:hanging="960"/>
        <w:rPr>
          <w:sz w:val="24"/>
          <w:szCs w:val="24"/>
        </w:rPr>
      </w:pPr>
      <w:r w:rsidRPr="00180524">
        <w:rPr>
          <w:rFonts w:hint="eastAsia"/>
          <w:sz w:val="24"/>
          <w:szCs w:val="24"/>
        </w:rPr>
        <w:t>＜例５＞全社員に対して管理職等がキャリアコンサルティングを入社から３年ごとに行う。また、その際外部のキャリアコンサルティングを受ける場合は、必要な費用は会社が全額負担する。</w:t>
      </w:r>
      <w:r w:rsidRPr="00180524">
        <w:rPr>
          <w:rFonts w:hint="eastAsia"/>
          <w:b/>
          <w:bCs/>
          <w:sz w:val="24"/>
          <w:szCs w:val="24"/>
        </w:rPr>
        <w:t>（※２）</w:t>
      </w:r>
    </w:p>
    <w:p w:rsidR="007B1C8D" w:rsidRPr="00180524" w:rsidRDefault="007B1C8D" w:rsidP="00423995">
      <w:pPr>
        <w:spacing w:line="440" w:lineRule="exact"/>
        <w:rPr>
          <w:sz w:val="22"/>
        </w:rPr>
      </w:pPr>
      <w:r w:rsidRPr="00180524">
        <w:rPr>
          <w:rFonts w:hint="eastAsia"/>
          <w:sz w:val="22"/>
        </w:rPr>
        <w:t>  </w:t>
      </w:r>
    </w:p>
    <w:p w:rsidR="007B1C8D" w:rsidRPr="00180524" w:rsidRDefault="007B1C8D" w:rsidP="00423995">
      <w:pPr>
        <w:spacing w:line="440" w:lineRule="exact"/>
        <w:rPr>
          <w:sz w:val="22"/>
        </w:rPr>
      </w:pPr>
      <w:r w:rsidRPr="00180524">
        <w:rPr>
          <w:rFonts w:hint="eastAsia"/>
          <w:b/>
          <w:bCs/>
          <w:sz w:val="22"/>
        </w:rPr>
        <w:t>３．その他の事項（任意）</w:t>
      </w:r>
    </w:p>
    <w:p w:rsidR="007B1C8D" w:rsidRPr="00180524" w:rsidRDefault="007B1C8D" w:rsidP="00423995">
      <w:pPr>
        <w:spacing w:line="440" w:lineRule="exact"/>
        <w:rPr>
          <w:sz w:val="22"/>
        </w:rPr>
      </w:pPr>
      <w:r w:rsidRPr="00180524">
        <w:rPr>
          <w:rFonts w:hint="eastAsia"/>
          <w:sz w:val="22"/>
        </w:rPr>
        <w:t xml:space="preserve">　（雇用管理方針など）</w:t>
      </w:r>
    </w:p>
    <w:p w:rsidR="007B1C8D" w:rsidRPr="00180524" w:rsidRDefault="007B1C8D" w:rsidP="00423995">
      <w:pPr>
        <w:spacing w:line="440" w:lineRule="exact"/>
        <w:ind w:left="880" w:hangingChars="400" w:hanging="880"/>
        <w:rPr>
          <w:sz w:val="22"/>
        </w:rPr>
      </w:pPr>
      <w:r w:rsidRPr="00180524">
        <w:rPr>
          <w:rFonts w:hint="eastAsia"/>
          <w:sz w:val="22"/>
        </w:rPr>
        <w:t>＜例１＞一人ひとりが、やりがいを持って職務に取り組めるよう、適正や要望を尊重して職務配置を行う。</w:t>
      </w:r>
    </w:p>
    <w:p w:rsidR="007B1C8D" w:rsidRPr="00180524" w:rsidRDefault="007B1C8D" w:rsidP="00423995">
      <w:pPr>
        <w:spacing w:line="440" w:lineRule="exact"/>
        <w:rPr>
          <w:sz w:val="22"/>
        </w:rPr>
      </w:pPr>
      <w:r w:rsidRPr="00180524">
        <w:rPr>
          <w:rFonts w:hint="eastAsia"/>
          <w:sz w:val="22"/>
        </w:rPr>
        <w:t>＜例２＞職種や配置転換等を行う際は、必要な訓練を施すとともに転換後のフォローアップを行う。</w:t>
      </w:r>
    </w:p>
    <w:p w:rsidR="007B1C8D" w:rsidRPr="00180524" w:rsidRDefault="007B1C8D" w:rsidP="00423995">
      <w:pPr>
        <w:spacing w:line="440" w:lineRule="exact"/>
        <w:rPr>
          <w:sz w:val="22"/>
        </w:rPr>
      </w:pPr>
      <w:r w:rsidRPr="00180524">
        <w:rPr>
          <w:rFonts w:hint="eastAsia"/>
          <w:sz w:val="22"/>
        </w:rPr>
        <w:t>＜例３＞訓練実施後の評価を行い、従業員の処遇改善に努める。</w:t>
      </w:r>
    </w:p>
    <w:p w:rsidR="007B1C8D" w:rsidRPr="00180524" w:rsidRDefault="007B1C8D" w:rsidP="00423995">
      <w:pPr>
        <w:spacing w:line="440" w:lineRule="exact"/>
        <w:rPr>
          <w:sz w:val="22"/>
        </w:rPr>
      </w:pPr>
      <w:r w:rsidRPr="00180524">
        <w:rPr>
          <w:rFonts w:hint="eastAsia"/>
          <w:b/>
          <w:bCs/>
          <w:sz w:val="22"/>
        </w:rPr>
        <w:t> </w:t>
      </w:r>
      <w:bookmarkStart w:id="0" w:name="_GoBack"/>
      <w:bookmarkEnd w:id="0"/>
    </w:p>
    <w:p w:rsidR="00DF20B6" w:rsidRDefault="007B1C8D" w:rsidP="00423995">
      <w:pPr>
        <w:spacing w:line="440" w:lineRule="exact"/>
        <w:rPr>
          <w:b/>
          <w:bCs/>
          <w:sz w:val="22"/>
        </w:rPr>
      </w:pPr>
      <w:r w:rsidRPr="00180524">
        <w:rPr>
          <w:rFonts w:hint="eastAsia"/>
          <w:b/>
          <w:bCs/>
          <w:sz w:val="22"/>
        </w:rPr>
        <w:t xml:space="preserve">　</w:t>
      </w:r>
    </w:p>
    <w:p w:rsidR="007B1C8D" w:rsidRPr="00180524" w:rsidRDefault="007B1C8D" w:rsidP="00423995">
      <w:pPr>
        <w:spacing w:line="440" w:lineRule="exact"/>
        <w:rPr>
          <w:sz w:val="22"/>
        </w:rPr>
      </w:pPr>
      <w:r w:rsidRPr="00180524">
        <w:rPr>
          <w:rFonts w:hint="eastAsia"/>
          <w:b/>
          <w:bCs/>
          <w:sz w:val="22"/>
        </w:rPr>
        <w:t>（注意）</w:t>
      </w:r>
    </w:p>
    <w:p w:rsidR="007B1C8D" w:rsidRPr="00180524" w:rsidRDefault="007B1C8D" w:rsidP="008E1612">
      <w:pPr>
        <w:spacing w:line="440" w:lineRule="exact"/>
        <w:ind w:left="216" w:hangingChars="100" w:hanging="216"/>
        <w:rPr>
          <w:sz w:val="22"/>
        </w:rPr>
      </w:pPr>
      <w:r w:rsidRPr="00180524">
        <w:rPr>
          <w:rFonts w:hint="eastAsia"/>
          <w:b/>
          <w:bCs/>
          <w:sz w:val="22"/>
        </w:rPr>
        <w:t>※１は、人材開発支援助成金「人への投資コース（高度デジタル人材訓練）」の要件として例示のよう</w:t>
      </w:r>
      <w:r w:rsidR="008E1612">
        <w:rPr>
          <w:rFonts w:hint="eastAsia"/>
          <w:b/>
          <w:bCs/>
          <w:sz w:val="22"/>
        </w:rPr>
        <w:t xml:space="preserve">　</w:t>
      </w:r>
      <w:r w:rsidRPr="00180524">
        <w:rPr>
          <w:rFonts w:hint="eastAsia"/>
          <w:b/>
          <w:bCs/>
          <w:sz w:val="22"/>
        </w:rPr>
        <w:t>な記載が必要</w:t>
      </w:r>
    </w:p>
    <w:p w:rsidR="006561A8" w:rsidRPr="00180524" w:rsidRDefault="007B1C8D" w:rsidP="008E1612">
      <w:pPr>
        <w:spacing w:line="440" w:lineRule="exact"/>
        <w:ind w:left="216" w:hangingChars="100" w:hanging="216"/>
        <w:rPr>
          <w:rFonts w:hint="eastAsia"/>
          <w:sz w:val="22"/>
        </w:rPr>
      </w:pPr>
      <w:r w:rsidRPr="00180524">
        <w:rPr>
          <w:rFonts w:hint="eastAsia"/>
          <w:b/>
          <w:bCs/>
          <w:sz w:val="22"/>
        </w:rPr>
        <w:t>※２は、人材開発支援助成金「特定訓練コース・一般訓練コース」の要件として、例示のような記載</w:t>
      </w:r>
      <w:r w:rsidR="008E1612">
        <w:rPr>
          <w:rFonts w:hint="eastAsia"/>
          <w:b/>
          <w:bCs/>
          <w:sz w:val="22"/>
        </w:rPr>
        <w:t xml:space="preserve">　　　</w:t>
      </w:r>
      <w:r w:rsidRPr="00180524">
        <w:rPr>
          <w:rFonts w:hint="eastAsia"/>
          <w:b/>
          <w:bCs/>
          <w:sz w:val="22"/>
        </w:rPr>
        <w:t>が必要</w:t>
      </w:r>
    </w:p>
    <w:sectPr w:rsidR="006561A8" w:rsidRPr="00180524" w:rsidSect="00423995">
      <w:pgSz w:w="11906" w:h="16838"/>
      <w:pgMar w:top="851" w:right="991" w:bottom="567"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D"/>
    <w:rsid w:val="00180524"/>
    <w:rsid w:val="003026DE"/>
    <w:rsid w:val="00423995"/>
    <w:rsid w:val="005B746B"/>
    <w:rsid w:val="00632189"/>
    <w:rsid w:val="007B1C8D"/>
    <w:rsid w:val="00877F02"/>
    <w:rsid w:val="008E1612"/>
    <w:rsid w:val="00DF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4B3C75"/>
  <w15:chartTrackingRefBased/>
  <w15:docId w15:val="{1A9BFF51-5482-4AF5-B0DE-0FF5B1A8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6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1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EADC-B9C6-4C6D-9CB0-6F58846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本合美香</dc:creator>
  <cp:keywords/>
  <dc:description/>
  <cp:lastModifiedBy>本合美香</cp:lastModifiedBy>
  <cp:revision>3</cp:revision>
  <cp:lastPrinted>2022-10-07T02:25:00Z</cp:lastPrinted>
  <dcterms:created xsi:type="dcterms:W3CDTF">2022-10-06T07:18:00Z</dcterms:created>
  <dcterms:modified xsi:type="dcterms:W3CDTF">2022-10-07T02:32:00Z</dcterms:modified>
</cp:coreProperties>
</file>