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2D8EC055" w:rsidR="00EC0040" w:rsidRDefault="0013782A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6D2C4EDB" w14:textId="2FD0C371" w:rsidR="00A60077" w:rsidRPr="00555FBE" w:rsidRDefault="00A60077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6E68ECE" wp14:editId="06015CFD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5400040" cy="303784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1765DBC8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887ABF">
        <w:rPr>
          <w:rFonts w:ascii="ＭＳ 明朝" w:eastAsia="ＭＳ 明朝" w:hAnsi="ＭＳ 明朝" w:hint="eastAsia"/>
          <w:sz w:val="24"/>
          <w:szCs w:val="24"/>
        </w:rPr>
        <w:t>夏</w:t>
      </w:r>
      <w:r w:rsidR="005432EE">
        <w:rPr>
          <w:rFonts w:ascii="ＭＳ 明朝" w:eastAsia="ＭＳ 明朝" w:hAnsi="ＭＳ 明朝" w:hint="eastAsia"/>
          <w:sz w:val="24"/>
          <w:szCs w:val="24"/>
        </w:rPr>
        <w:t>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5C29A2AA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「年次有給休暇取得促進特設サイト」をご覧いただくか、お近くの都道府県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労働局雇用環境・均等部（室）にお問い合わせください。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B34E0A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1F20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9732C"/>
    <w:rsid w:val="002C44B2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03C8"/>
    <w:rsid w:val="004D6282"/>
    <w:rsid w:val="004F2B5C"/>
    <w:rsid w:val="00531BA4"/>
    <w:rsid w:val="005432EE"/>
    <w:rsid w:val="00555FBE"/>
    <w:rsid w:val="005725FF"/>
    <w:rsid w:val="005772C6"/>
    <w:rsid w:val="00595894"/>
    <w:rsid w:val="005E5440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7F4EA9"/>
    <w:rsid w:val="0080298B"/>
    <w:rsid w:val="00805996"/>
    <w:rsid w:val="00814D56"/>
    <w:rsid w:val="0081779A"/>
    <w:rsid w:val="00836D93"/>
    <w:rsid w:val="00853A90"/>
    <w:rsid w:val="008666FF"/>
    <w:rsid w:val="0088352A"/>
    <w:rsid w:val="00887ABF"/>
    <w:rsid w:val="00893BF7"/>
    <w:rsid w:val="00986C06"/>
    <w:rsid w:val="00990F52"/>
    <w:rsid w:val="009B104F"/>
    <w:rsid w:val="009B5F0C"/>
    <w:rsid w:val="009E1BFB"/>
    <w:rsid w:val="00A60077"/>
    <w:rsid w:val="00AB4343"/>
    <w:rsid w:val="00B132FC"/>
    <w:rsid w:val="00B34E0A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F6EC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大山 遥花(ooyama-haruka.ku6)</cp:lastModifiedBy>
  <cp:revision>66</cp:revision>
  <cp:lastPrinted>2022-10-28T01:56:00Z</cp:lastPrinted>
  <dcterms:created xsi:type="dcterms:W3CDTF">2020-08-05T12:30:00Z</dcterms:created>
  <dcterms:modified xsi:type="dcterms:W3CDTF">2024-06-03T01:47:00Z</dcterms:modified>
</cp:coreProperties>
</file>