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D8" w:rsidRPr="00E42D72" w:rsidRDefault="00AA6DD8" w:rsidP="00AA6DD8">
      <w:pPr>
        <w:jc w:val="center"/>
        <w:rPr>
          <w:rFonts w:asciiTheme="majorEastAsia" w:eastAsiaTheme="majorEastAsia" w:hAnsiTheme="majorEastAsia"/>
          <w:szCs w:val="24"/>
        </w:rPr>
      </w:pPr>
      <w:bookmarkStart w:id="0" w:name="_GoBack"/>
      <w:bookmarkEnd w:id="0"/>
      <w:r w:rsidRPr="00E42D72">
        <w:rPr>
          <w:rFonts w:asciiTheme="majorEastAsia" w:eastAsiaTheme="majorEastAsia" w:hAnsiTheme="majorEastAsia" w:hint="eastAsia"/>
          <w:szCs w:val="24"/>
        </w:rPr>
        <w:t>荷役５大災害防止対策チェックリスト</w:t>
      </w:r>
    </w:p>
    <w:p w:rsidR="00AA6DD8" w:rsidRPr="00E42D72" w:rsidRDefault="00AA6DD8" w:rsidP="00AA6DD8">
      <w:pPr>
        <w:jc w:val="right"/>
        <w:rPr>
          <w:rFonts w:asciiTheme="majorEastAsia" w:eastAsiaTheme="majorEastAsia" w:hAnsiTheme="majorEastAsia"/>
          <w:szCs w:val="24"/>
        </w:rPr>
      </w:pPr>
      <w:r w:rsidRPr="00E42D72">
        <w:rPr>
          <w:rFonts w:asciiTheme="majorEastAsia" w:eastAsiaTheme="majorEastAsia" w:hAnsiTheme="majorEastAsia" w:hint="eastAsia"/>
          <w:szCs w:val="24"/>
        </w:rPr>
        <w:t>（陸運事業者用）</w:t>
      </w:r>
    </w:p>
    <w:p w:rsidR="00AA6DD8" w:rsidRPr="00E42D72" w:rsidRDefault="00AA6DD8" w:rsidP="00AA6DD8">
      <w:pPr>
        <w:wordWrap w:val="0"/>
        <w:jc w:val="right"/>
        <w:rPr>
          <w:rFonts w:asciiTheme="majorEastAsia" w:eastAsiaTheme="majorEastAsia" w:hAnsiTheme="majorEastAsia"/>
          <w:sz w:val="22"/>
          <w:szCs w:val="21"/>
        </w:rPr>
      </w:pPr>
      <w:r w:rsidRPr="00E42D72">
        <w:rPr>
          <w:rFonts w:asciiTheme="majorEastAsia" w:eastAsiaTheme="majorEastAsia" w:hAnsiTheme="majorEastAsia" w:hint="eastAsia"/>
          <w:sz w:val="22"/>
          <w:szCs w:val="21"/>
        </w:rPr>
        <w:t>チェック欄記入方法　○：実施している　△：一部実施している　×：実施していない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992"/>
        <w:gridCol w:w="3685"/>
        <w:gridCol w:w="993"/>
        <w:gridCol w:w="4469"/>
      </w:tblGrid>
      <w:tr w:rsidR="00AA6DD8" w:rsidRPr="00E42D72" w:rsidTr="00AA6DD8">
        <w:trPr>
          <w:trHeight w:val="360"/>
        </w:trPr>
        <w:tc>
          <w:tcPr>
            <w:tcW w:w="372" w:type="dxa"/>
            <w:vAlign w:val="center"/>
          </w:tcPr>
          <w:p w:rsidR="00AA6DD8" w:rsidRPr="00E42D72" w:rsidRDefault="00AA6DD8" w:rsidP="00B250F3">
            <w:pPr>
              <w:jc w:val="center"/>
              <w:rPr>
                <w:rFonts w:asciiTheme="majorEastAsia" w:eastAsiaTheme="majorEastAsia" w:hAnsiTheme="majorEastAsia"/>
                <w:szCs w:val="24"/>
              </w:rPr>
            </w:pPr>
            <w:r w:rsidRPr="00E42D72">
              <w:rPr>
                <w:rFonts w:asciiTheme="majorEastAsia" w:eastAsiaTheme="majorEastAsia" w:hAnsiTheme="majorEastAsia" w:hint="eastAsia"/>
                <w:sz w:val="18"/>
                <w:szCs w:val="18"/>
              </w:rPr>
              <w:t>災害の種類</w:t>
            </w:r>
          </w:p>
        </w:tc>
        <w:tc>
          <w:tcPr>
            <w:tcW w:w="4677" w:type="dxa"/>
            <w:gridSpan w:val="2"/>
            <w:vAlign w:val="center"/>
          </w:tcPr>
          <w:p w:rsidR="00AA6DD8" w:rsidRPr="00E42D72" w:rsidRDefault="00AA6DD8" w:rsidP="00B250F3">
            <w:pPr>
              <w:jc w:val="cente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チェック項目</w:t>
            </w:r>
          </w:p>
        </w:tc>
        <w:tc>
          <w:tcPr>
            <w:tcW w:w="993" w:type="dxa"/>
          </w:tcPr>
          <w:p w:rsidR="00AA6DD8" w:rsidRPr="00E42D72" w:rsidRDefault="00AA6DD8" w:rsidP="00B250F3">
            <w:pPr>
              <w:jc w:val="center"/>
              <w:rPr>
                <w:rFonts w:asciiTheme="majorEastAsia" w:eastAsiaTheme="majorEastAsia" w:hAnsiTheme="majorEastAsia"/>
                <w:sz w:val="18"/>
                <w:szCs w:val="18"/>
              </w:rPr>
            </w:pPr>
          </w:p>
          <w:p w:rsidR="00AA6DD8" w:rsidRPr="00E42D72" w:rsidRDefault="00AA6DD8" w:rsidP="00B250F3">
            <w:pPr>
              <w:jc w:val="cente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チェック</w:t>
            </w:r>
          </w:p>
          <w:p w:rsidR="00AA6DD8" w:rsidRPr="00E42D72" w:rsidRDefault="00AA6DD8" w:rsidP="00B250F3">
            <w:pPr>
              <w:jc w:val="center"/>
              <w:rPr>
                <w:rFonts w:asciiTheme="majorEastAsia" w:eastAsiaTheme="majorEastAsia" w:hAnsiTheme="majorEastAsia"/>
                <w:sz w:val="18"/>
                <w:szCs w:val="18"/>
              </w:rPr>
            </w:pPr>
            <w:r w:rsidRPr="00E42D72">
              <w:rPr>
                <w:rFonts w:asciiTheme="majorEastAsia" w:eastAsiaTheme="majorEastAsia" w:hAnsiTheme="majorEastAsia" w:hint="eastAsia"/>
                <w:sz w:val="16"/>
                <w:szCs w:val="18"/>
              </w:rPr>
              <w:t>（○、△、×の記入）</w:t>
            </w:r>
          </w:p>
        </w:tc>
        <w:tc>
          <w:tcPr>
            <w:tcW w:w="4469" w:type="dxa"/>
            <w:vAlign w:val="center"/>
          </w:tcPr>
          <w:p w:rsidR="00AA6DD8" w:rsidRPr="00E42D72" w:rsidRDefault="00AA6DD8" w:rsidP="00B250F3">
            <w:pPr>
              <w:jc w:val="cente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改善方針等</w:t>
            </w:r>
          </w:p>
          <w:p w:rsidR="00AA6DD8" w:rsidRPr="00E42D72" w:rsidRDefault="00AA6DD8" w:rsidP="00B250F3">
            <w:pPr>
              <w:jc w:val="cente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（問題点とそれに対する改善方針、実施時期等を具体的に明記してください）</w:t>
            </w:r>
          </w:p>
        </w:tc>
      </w:tr>
      <w:tr w:rsidR="00AA6DD8" w:rsidRPr="00E42D72" w:rsidTr="00AA6DD8">
        <w:trPr>
          <w:trHeight w:val="645"/>
        </w:trPr>
        <w:tc>
          <w:tcPr>
            <w:tcW w:w="37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共通事項</w:t>
            </w:r>
          </w:p>
        </w:tc>
        <w:tc>
          <w:tcPr>
            <w:tcW w:w="99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保護帽の着用</w:t>
            </w:r>
          </w:p>
        </w:tc>
        <w:tc>
          <w:tcPr>
            <w:tcW w:w="3685" w:type="dxa"/>
            <w:tcBorders>
              <w:bottom w:val="dashed" w:sz="4" w:space="0" w:color="auto"/>
            </w:tcBorders>
          </w:tcPr>
          <w:p w:rsidR="00AA6DD8" w:rsidRPr="00E42D72" w:rsidRDefault="00AA6DD8" w:rsidP="00AA6DD8">
            <w:pPr>
              <w:pStyle w:val="a3"/>
              <w:ind w:leftChars="20" w:left="48"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最大積載量が５トン以上のトラックの荷役作業においては必ず保護帽を着用させていますか。</w:t>
            </w:r>
          </w:p>
        </w:tc>
        <w:tc>
          <w:tcPr>
            <w:tcW w:w="993" w:type="dxa"/>
            <w:tcBorders>
              <w:bottom w:val="dashed" w:sz="4" w:space="0" w:color="auto"/>
            </w:tcBorders>
          </w:tcPr>
          <w:p w:rsidR="00AA6DD8" w:rsidRPr="00E42D72" w:rsidRDefault="00AA6DD8" w:rsidP="00B250F3">
            <w:pPr>
              <w:jc w:val="center"/>
              <w:rPr>
                <w:rFonts w:asciiTheme="majorEastAsia" w:eastAsiaTheme="majorEastAsia" w:hAnsiTheme="majorEastAsia"/>
                <w:sz w:val="21"/>
                <w:szCs w:val="21"/>
              </w:rPr>
            </w:pPr>
          </w:p>
        </w:tc>
        <w:tc>
          <w:tcPr>
            <w:tcW w:w="4469" w:type="dxa"/>
            <w:vMerge w:val="restart"/>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420"/>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vMerge/>
          </w:tcPr>
          <w:p w:rsidR="00AA6DD8" w:rsidRPr="00E42D72" w:rsidRDefault="00AA6DD8" w:rsidP="00AA6DD8">
            <w:pPr>
              <w:pStyle w:val="a3"/>
              <w:ind w:leftChars="89" w:left="867" w:hangingChars="363" w:hanging="653"/>
              <w:rPr>
                <w:rFonts w:asciiTheme="majorEastAsia" w:eastAsiaTheme="majorEastAsia" w:hAnsiTheme="majorEastAsia"/>
                <w:sz w:val="18"/>
                <w:szCs w:val="18"/>
              </w:rPr>
            </w:pPr>
          </w:p>
        </w:tc>
        <w:tc>
          <w:tcPr>
            <w:tcW w:w="3685" w:type="dxa"/>
            <w:tcBorders>
              <w:top w:val="dashed" w:sz="4" w:space="0" w:color="auto"/>
            </w:tcBorders>
          </w:tcPr>
          <w:p w:rsidR="00AA6DD8" w:rsidRPr="00E42D72" w:rsidRDefault="00AA6DD8" w:rsidP="00AA6DD8">
            <w:pPr>
              <w:pStyle w:val="a3"/>
              <w:ind w:leftChars="20" w:left="48" w:firstLineChars="80" w:firstLine="144"/>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上記以外の場合の荷役作業においても保護帽の着用させていますか。</w:t>
            </w:r>
          </w:p>
        </w:tc>
        <w:tc>
          <w:tcPr>
            <w:tcW w:w="993" w:type="dxa"/>
            <w:tcBorders>
              <w:top w:val="dashed" w:sz="4" w:space="0" w:color="auto"/>
            </w:tcBorders>
          </w:tcPr>
          <w:p w:rsidR="00AA6DD8" w:rsidRPr="00E42D72" w:rsidRDefault="00AA6DD8" w:rsidP="00B250F3">
            <w:pPr>
              <w:jc w:val="center"/>
              <w:rPr>
                <w:rFonts w:asciiTheme="majorEastAsia" w:eastAsiaTheme="majorEastAsia" w:hAnsiTheme="majorEastAsia"/>
                <w:sz w:val="18"/>
                <w:szCs w:val="18"/>
              </w:rPr>
            </w:pPr>
          </w:p>
        </w:tc>
        <w:tc>
          <w:tcPr>
            <w:tcW w:w="4469" w:type="dxa"/>
            <w:vMerge/>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360"/>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耐滑性のある靴の着用</w:t>
            </w:r>
          </w:p>
        </w:tc>
        <w:tc>
          <w:tcPr>
            <w:tcW w:w="3685" w:type="dxa"/>
          </w:tcPr>
          <w:p w:rsidR="00AA6DD8" w:rsidRPr="00E42D72" w:rsidRDefault="00AA6DD8" w:rsidP="00B250F3">
            <w:pPr>
              <w:pStyle w:val="a3"/>
              <w:ind w:leftChars="0" w:left="43" w:firstLineChars="78" w:firstLine="14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993" w:type="dxa"/>
          </w:tcPr>
          <w:p w:rsidR="00AA6DD8" w:rsidRPr="00E42D72" w:rsidRDefault="00AA6DD8" w:rsidP="00B250F3">
            <w:pPr>
              <w:jc w:val="center"/>
              <w:rPr>
                <w:rFonts w:asciiTheme="majorEastAsia" w:eastAsiaTheme="majorEastAsia" w:hAnsiTheme="majorEastAsia"/>
                <w:sz w:val="18"/>
                <w:szCs w:val="18"/>
              </w:rPr>
            </w:pPr>
          </w:p>
        </w:tc>
        <w:tc>
          <w:tcPr>
            <w:tcW w:w="4469" w:type="dxa"/>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345"/>
        </w:trPr>
        <w:tc>
          <w:tcPr>
            <w:tcW w:w="37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墜落・転落災害</w:t>
            </w: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作業計画の作成等</w:t>
            </w:r>
          </w:p>
        </w:tc>
        <w:tc>
          <w:tcPr>
            <w:tcW w:w="3685" w:type="dxa"/>
          </w:tcPr>
          <w:p w:rsidR="00AA6DD8" w:rsidRPr="00E42D72" w:rsidRDefault="00AA6DD8" w:rsidP="00B250F3">
            <w:pPr>
              <w:pStyle w:val="a3"/>
              <w:ind w:leftChars="0" w:left="43" w:firstLineChars="78" w:firstLine="14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993" w:type="dxa"/>
          </w:tcPr>
          <w:p w:rsidR="00AA6DD8" w:rsidRPr="00E42D72" w:rsidRDefault="00AA6DD8" w:rsidP="00B250F3">
            <w:pPr>
              <w:jc w:val="center"/>
              <w:rPr>
                <w:rFonts w:asciiTheme="majorEastAsia" w:eastAsiaTheme="majorEastAsia" w:hAnsiTheme="majorEastAsia"/>
                <w:sz w:val="18"/>
                <w:szCs w:val="18"/>
              </w:rPr>
            </w:pPr>
          </w:p>
        </w:tc>
        <w:tc>
          <w:tcPr>
            <w:tcW w:w="4469" w:type="dxa"/>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1007"/>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tcPr>
          <w:p w:rsidR="00AA6DD8" w:rsidRPr="00E42D72" w:rsidRDefault="00AA6DD8" w:rsidP="00B250F3">
            <w:pPr>
              <w:pStyle w:val="a4"/>
              <w:jc w:val="both"/>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作業床等の使用</w:t>
            </w:r>
          </w:p>
        </w:tc>
        <w:tc>
          <w:tcPr>
            <w:tcW w:w="3685" w:type="dxa"/>
          </w:tcPr>
          <w:p w:rsidR="00AA6DD8" w:rsidRPr="00E42D72" w:rsidRDefault="00AA6DD8" w:rsidP="00B250F3">
            <w:pPr>
              <w:pStyle w:val="a4"/>
              <w:ind w:left="43" w:firstLineChars="78" w:firstLine="140"/>
              <w:jc w:val="both"/>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993" w:type="dxa"/>
          </w:tcPr>
          <w:p w:rsidR="00AA6DD8" w:rsidRPr="00E42D72" w:rsidRDefault="00AA6DD8" w:rsidP="00B250F3">
            <w:pPr>
              <w:jc w:val="center"/>
              <w:rPr>
                <w:rFonts w:asciiTheme="majorEastAsia" w:eastAsiaTheme="majorEastAsia" w:hAnsiTheme="majorEastAsia"/>
                <w:sz w:val="18"/>
                <w:szCs w:val="18"/>
              </w:rPr>
            </w:pPr>
          </w:p>
        </w:tc>
        <w:tc>
          <w:tcPr>
            <w:tcW w:w="4469" w:type="dxa"/>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735"/>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vMerge w:val="restart"/>
          </w:tcPr>
          <w:p w:rsidR="00AA6DD8" w:rsidRPr="00E42D72" w:rsidRDefault="00AA6DD8" w:rsidP="00B250F3">
            <w:pPr>
              <w:pStyle w:val="a4"/>
              <w:jc w:val="both"/>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昇降設備の使用</w:t>
            </w:r>
          </w:p>
        </w:tc>
        <w:tc>
          <w:tcPr>
            <w:tcW w:w="3685" w:type="dxa"/>
            <w:tcBorders>
              <w:bottom w:val="dashed" w:sz="4" w:space="0" w:color="auto"/>
            </w:tcBorders>
          </w:tcPr>
          <w:p w:rsidR="00AA6DD8" w:rsidRPr="00E42D72" w:rsidRDefault="00AA6DD8" w:rsidP="00B250F3">
            <w:pPr>
              <w:pStyle w:val="a4"/>
              <w:ind w:left="43" w:firstLineChars="110" w:firstLine="198"/>
              <w:jc w:val="both"/>
              <w:rPr>
                <w:rFonts w:asciiTheme="majorEastAsia" w:eastAsiaTheme="majorEastAsia" w:hAnsiTheme="majorEastAsia"/>
                <w:sz w:val="18"/>
                <w:szCs w:val="18"/>
              </w:rPr>
            </w:pPr>
            <w:r w:rsidRPr="00E42D72">
              <w:rPr>
                <w:rFonts w:asciiTheme="majorEastAsia" w:eastAsiaTheme="majorEastAsia" w:hAnsiTheme="majorEastAsia" w:cs="Times New Roman" w:hint="eastAsia"/>
                <w:sz w:val="18"/>
                <w:szCs w:val="18"/>
              </w:rPr>
              <w:t>荷台への昇降設備を用意し、</w:t>
            </w:r>
            <w:r w:rsidRPr="00E42D72">
              <w:rPr>
                <w:rFonts w:asciiTheme="majorEastAsia" w:eastAsiaTheme="majorEastAsia" w:hAnsiTheme="majorEastAsia" w:hint="eastAsia"/>
                <w:sz w:val="18"/>
                <w:szCs w:val="18"/>
              </w:rPr>
              <w:t>最大積載量が５ｔ以上のトラックの荷台への昇降は、昇降設備を使用させていますか。</w:t>
            </w:r>
          </w:p>
        </w:tc>
        <w:tc>
          <w:tcPr>
            <w:tcW w:w="993" w:type="dxa"/>
            <w:tcBorders>
              <w:bottom w:val="dashed" w:sz="4" w:space="0" w:color="auto"/>
            </w:tcBorders>
          </w:tcPr>
          <w:p w:rsidR="00AA6DD8" w:rsidRPr="00E42D72" w:rsidRDefault="00AA6DD8" w:rsidP="00B250F3">
            <w:pPr>
              <w:jc w:val="center"/>
              <w:rPr>
                <w:rFonts w:asciiTheme="majorEastAsia" w:eastAsiaTheme="majorEastAsia" w:hAnsiTheme="majorEastAsia"/>
                <w:sz w:val="18"/>
                <w:szCs w:val="18"/>
              </w:rPr>
            </w:pPr>
          </w:p>
        </w:tc>
        <w:tc>
          <w:tcPr>
            <w:tcW w:w="4469" w:type="dxa"/>
            <w:vMerge w:val="restart"/>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690"/>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vMerge/>
          </w:tcPr>
          <w:p w:rsidR="00AA6DD8" w:rsidRPr="00E42D72" w:rsidRDefault="00AA6DD8" w:rsidP="00B250F3">
            <w:pPr>
              <w:pStyle w:val="a4"/>
              <w:ind w:left="242"/>
              <w:jc w:val="both"/>
              <w:rPr>
                <w:rFonts w:asciiTheme="majorEastAsia" w:eastAsiaTheme="majorEastAsia" w:hAnsiTheme="majorEastAsia" w:cs="Times New Roman"/>
                <w:sz w:val="18"/>
                <w:szCs w:val="18"/>
              </w:rPr>
            </w:pPr>
          </w:p>
        </w:tc>
        <w:tc>
          <w:tcPr>
            <w:tcW w:w="3685" w:type="dxa"/>
            <w:tcBorders>
              <w:top w:val="dashed" w:sz="4" w:space="0" w:color="auto"/>
            </w:tcBorders>
          </w:tcPr>
          <w:p w:rsidR="00AA6DD8" w:rsidRPr="00E42D72" w:rsidRDefault="00AA6DD8" w:rsidP="00B250F3">
            <w:pPr>
              <w:pStyle w:val="a4"/>
              <w:ind w:left="2" w:firstLineChars="100" w:firstLine="180"/>
              <w:jc w:val="both"/>
              <w:rPr>
                <w:rFonts w:asciiTheme="majorEastAsia" w:eastAsiaTheme="majorEastAsia" w:hAnsiTheme="majorEastAsia" w:cs="Times New Roman"/>
                <w:sz w:val="18"/>
                <w:szCs w:val="18"/>
              </w:rPr>
            </w:pPr>
            <w:r w:rsidRPr="00E42D72">
              <w:rPr>
                <w:rFonts w:asciiTheme="majorEastAsia" w:eastAsiaTheme="majorEastAsia" w:hAnsiTheme="majorEastAsia" w:hint="eastAsia"/>
                <w:sz w:val="18"/>
                <w:szCs w:val="18"/>
              </w:rPr>
              <w:t>最大積載量が５ｔ未満のトラックの荷台への昇降についても、昇降設備（踏み台等の簡易なものでもよい。）を使用させていますか。</w:t>
            </w:r>
          </w:p>
        </w:tc>
        <w:tc>
          <w:tcPr>
            <w:tcW w:w="993" w:type="dxa"/>
            <w:tcBorders>
              <w:top w:val="dashed" w:sz="4" w:space="0" w:color="auto"/>
            </w:tcBorders>
          </w:tcPr>
          <w:p w:rsidR="00AA6DD8" w:rsidRPr="00E42D72" w:rsidRDefault="00AA6DD8" w:rsidP="00B250F3">
            <w:pPr>
              <w:jc w:val="center"/>
              <w:rPr>
                <w:rFonts w:asciiTheme="majorEastAsia" w:eastAsiaTheme="majorEastAsia" w:hAnsiTheme="majorEastAsia"/>
                <w:sz w:val="18"/>
                <w:szCs w:val="18"/>
              </w:rPr>
            </w:pPr>
          </w:p>
        </w:tc>
        <w:tc>
          <w:tcPr>
            <w:tcW w:w="4469" w:type="dxa"/>
            <w:vMerge/>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706"/>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tcPr>
          <w:p w:rsidR="00AA6DD8" w:rsidRPr="00E42D72" w:rsidRDefault="00AA6DD8" w:rsidP="00B250F3">
            <w:pPr>
              <w:pStyle w:val="a4"/>
              <w:jc w:val="both"/>
              <w:rPr>
                <w:rFonts w:asciiTheme="majorEastAsia" w:eastAsiaTheme="majorEastAsia" w:hAnsiTheme="majorEastAsia" w:cs="Times New Roman"/>
                <w:sz w:val="18"/>
                <w:szCs w:val="18"/>
              </w:rPr>
            </w:pPr>
            <w:r w:rsidRPr="00E42D72">
              <w:rPr>
                <w:rFonts w:asciiTheme="majorEastAsia" w:eastAsiaTheme="majorEastAsia" w:hAnsiTheme="majorEastAsia" w:cs="Times New Roman" w:hint="eastAsia"/>
                <w:sz w:val="18"/>
                <w:szCs w:val="18"/>
              </w:rPr>
              <w:t>荷や荷台上での作業</w:t>
            </w:r>
          </w:p>
        </w:tc>
        <w:tc>
          <w:tcPr>
            <w:tcW w:w="3685" w:type="dxa"/>
          </w:tcPr>
          <w:p w:rsidR="00AA6DD8" w:rsidRPr="00E42D72" w:rsidRDefault="00AA6DD8" w:rsidP="00B250F3">
            <w:pPr>
              <w:pStyle w:val="a4"/>
              <w:ind w:left="43" w:firstLineChars="110" w:firstLine="198"/>
              <w:jc w:val="both"/>
              <w:rPr>
                <w:rFonts w:asciiTheme="majorEastAsia" w:eastAsiaTheme="majorEastAsia" w:hAnsiTheme="majorEastAsia" w:cs="Times New Roman"/>
                <w:sz w:val="18"/>
                <w:szCs w:val="18"/>
              </w:rPr>
            </w:pPr>
            <w:r w:rsidRPr="00E42D72">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993" w:type="dxa"/>
          </w:tcPr>
          <w:p w:rsidR="00AA6DD8" w:rsidRPr="00E42D72" w:rsidRDefault="00AA6DD8" w:rsidP="00B250F3">
            <w:pPr>
              <w:jc w:val="center"/>
              <w:rPr>
                <w:rFonts w:asciiTheme="majorEastAsia" w:eastAsiaTheme="majorEastAsia" w:hAnsiTheme="majorEastAsia"/>
                <w:sz w:val="18"/>
                <w:szCs w:val="18"/>
              </w:rPr>
            </w:pPr>
          </w:p>
        </w:tc>
        <w:tc>
          <w:tcPr>
            <w:tcW w:w="4469" w:type="dxa"/>
          </w:tcPr>
          <w:p w:rsidR="00AA6DD8" w:rsidRPr="00E42D72" w:rsidRDefault="00AA6DD8" w:rsidP="00B250F3">
            <w:pPr>
              <w:rPr>
                <w:rFonts w:asciiTheme="majorEastAsia" w:eastAsiaTheme="majorEastAsia" w:hAnsiTheme="majorEastAsia"/>
                <w:sz w:val="18"/>
                <w:szCs w:val="18"/>
              </w:rPr>
            </w:pPr>
          </w:p>
        </w:tc>
      </w:tr>
      <w:tr w:rsidR="00AA6DD8" w:rsidRPr="00E42D72" w:rsidTr="00AA6DD8">
        <w:trPr>
          <w:trHeight w:val="630"/>
        </w:trPr>
        <w:tc>
          <w:tcPr>
            <w:tcW w:w="372" w:type="dxa"/>
            <w:vMerge/>
          </w:tcPr>
          <w:p w:rsidR="00AA6DD8" w:rsidRPr="00E42D72" w:rsidRDefault="00AA6DD8" w:rsidP="00B250F3">
            <w:pPr>
              <w:rPr>
                <w:rFonts w:asciiTheme="majorEastAsia" w:eastAsiaTheme="majorEastAsia" w:hAnsiTheme="majorEastAsia"/>
                <w:sz w:val="18"/>
                <w:szCs w:val="18"/>
              </w:rPr>
            </w:pPr>
          </w:p>
        </w:tc>
        <w:tc>
          <w:tcPr>
            <w:tcW w:w="992" w:type="dxa"/>
          </w:tcPr>
          <w:p w:rsidR="00AA6DD8" w:rsidRPr="00E42D72" w:rsidRDefault="00AA6DD8" w:rsidP="00B250F3">
            <w:pPr>
              <w:pStyle w:val="a4"/>
              <w:suppressAutoHyphens w:val="0"/>
              <w:kinsoku/>
              <w:wordWrap/>
              <w:autoSpaceDE/>
              <w:autoSpaceDN/>
              <w:adjustRightInd/>
              <w:jc w:val="both"/>
              <w:rPr>
                <w:rFonts w:asciiTheme="majorEastAsia" w:eastAsiaTheme="majorEastAsia" w:hAnsiTheme="majorEastAsia" w:cs="Times New Roman"/>
                <w:sz w:val="18"/>
                <w:szCs w:val="18"/>
              </w:rPr>
            </w:pPr>
            <w:r w:rsidRPr="00E42D72">
              <w:rPr>
                <w:rFonts w:asciiTheme="majorEastAsia" w:eastAsiaTheme="majorEastAsia" w:hAnsiTheme="majorEastAsia" w:cs="Times New Roman" w:hint="eastAsia"/>
                <w:sz w:val="18"/>
                <w:szCs w:val="18"/>
              </w:rPr>
              <w:t>安全帯の使用</w:t>
            </w:r>
          </w:p>
        </w:tc>
        <w:tc>
          <w:tcPr>
            <w:tcW w:w="3685" w:type="dxa"/>
          </w:tcPr>
          <w:p w:rsidR="00AA6DD8" w:rsidRPr="00E42D72" w:rsidRDefault="00AA6DD8" w:rsidP="00B250F3">
            <w:pPr>
              <w:pStyle w:val="a4"/>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E42D72">
              <w:rPr>
                <w:rFonts w:asciiTheme="majorEastAsia" w:eastAsiaTheme="majorEastAsia" w:hAnsiTheme="majorEastAsia" w:hint="eastAsia"/>
                <w:sz w:val="18"/>
                <w:szCs w:val="18"/>
              </w:rPr>
              <w:t>安全帯を取り付ける設備がある場合は、安全帯を使用させていますか。</w:t>
            </w:r>
          </w:p>
        </w:tc>
        <w:tc>
          <w:tcPr>
            <w:tcW w:w="993" w:type="dxa"/>
          </w:tcPr>
          <w:p w:rsidR="00AA6DD8" w:rsidRPr="00E42D72" w:rsidRDefault="00AA6DD8" w:rsidP="00B250F3">
            <w:pPr>
              <w:jc w:val="center"/>
              <w:rPr>
                <w:rFonts w:asciiTheme="majorEastAsia" w:eastAsiaTheme="majorEastAsia" w:hAnsiTheme="majorEastAsia"/>
                <w:sz w:val="18"/>
                <w:szCs w:val="18"/>
              </w:rPr>
            </w:pPr>
          </w:p>
        </w:tc>
        <w:tc>
          <w:tcPr>
            <w:tcW w:w="4469" w:type="dxa"/>
          </w:tcPr>
          <w:p w:rsidR="00AA6DD8" w:rsidRPr="00E42D72" w:rsidRDefault="00AA6DD8" w:rsidP="00B250F3">
            <w:pPr>
              <w:rPr>
                <w:rFonts w:asciiTheme="majorEastAsia" w:eastAsiaTheme="majorEastAsia" w:hAnsiTheme="majorEastAsia"/>
                <w:sz w:val="18"/>
                <w:szCs w:val="18"/>
              </w:rPr>
            </w:pPr>
          </w:p>
        </w:tc>
      </w:tr>
      <w:tr w:rsidR="00AA6DD8" w:rsidRPr="00E42D72" w:rsidTr="000C6427">
        <w:trPr>
          <w:trHeight w:val="1371"/>
        </w:trPr>
        <w:tc>
          <w:tcPr>
            <w:tcW w:w="37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荷崩れ</w:t>
            </w: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作業計画の作成等</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315"/>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適切な荷付けの実施</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積付けの際、積みおろしを行う労働者が安全に積みおろしができるよう配慮した積付けを行い、適切な固定・固縛を行わせていますか。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465"/>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pStyle w:val="a3"/>
              <w:ind w:leftChars="0" w:left="1"/>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走行中の荷への配慮</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荷崩れに繋がりやすい荒い運転（急制動、急発進、急旋回等）をさせないようにしていますか。トラックで輸送中、適宜停車時に積荷の固定・固縛方法を点検させていますか。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405"/>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荷下ろし時の配慮</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645"/>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教育の実施</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荷の固定・固縛方法に係る教育を実施していますか。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216"/>
        </w:trPr>
        <w:tc>
          <w:tcPr>
            <w:tcW w:w="37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フォークリフト使用時</w:t>
            </w: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作業計画の作成等</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690"/>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適切な資格者による運転</w:t>
            </w:r>
          </w:p>
        </w:tc>
        <w:tc>
          <w:tcPr>
            <w:tcW w:w="3685" w:type="dxa"/>
            <w:tcBorders>
              <w:bottom w:val="dashed" w:sz="4" w:space="0" w:color="auto"/>
            </w:tcBorders>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993" w:type="dxa"/>
            <w:tcBorders>
              <w:bottom w:val="dashed" w:sz="4" w:space="0" w:color="auto"/>
            </w:tcBorders>
          </w:tcPr>
          <w:p w:rsidR="00AA6DD8" w:rsidRPr="00E42D72" w:rsidRDefault="00AA6DD8" w:rsidP="00B250F3">
            <w:pPr>
              <w:jc w:val="center"/>
              <w:rPr>
                <w:rFonts w:asciiTheme="majorEastAsia" w:eastAsiaTheme="majorEastAsia" w:hAnsiTheme="majorEastAsia"/>
              </w:rPr>
            </w:pPr>
          </w:p>
        </w:tc>
        <w:tc>
          <w:tcPr>
            <w:tcW w:w="4469" w:type="dxa"/>
            <w:vMerge w:val="restart"/>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735"/>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vMerge/>
          </w:tcPr>
          <w:p w:rsidR="00AA6DD8" w:rsidRPr="00E42D72" w:rsidRDefault="00AA6DD8" w:rsidP="00AA6DD8">
            <w:pPr>
              <w:pStyle w:val="a3"/>
              <w:ind w:leftChars="88" w:left="211"/>
              <w:rPr>
                <w:rFonts w:asciiTheme="majorEastAsia" w:eastAsiaTheme="majorEastAsia" w:hAnsiTheme="majorEastAsia"/>
                <w:sz w:val="18"/>
                <w:szCs w:val="18"/>
              </w:rPr>
            </w:pPr>
          </w:p>
        </w:tc>
        <w:tc>
          <w:tcPr>
            <w:tcW w:w="3685" w:type="dxa"/>
            <w:tcBorders>
              <w:top w:val="dashed" w:sz="4" w:space="0" w:color="auto"/>
            </w:tcBorders>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993" w:type="dxa"/>
            <w:tcBorders>
              <w:top w:val="dashed" w:sz="4" w:space="0" w:color="auto"/>
            </w:tcBorders>
          </w:tcPr>
          <w:p w:rsidR="00AA6DD8" w:rsidRPr="00E42D72" w:rsidRDefault="00AA6DD8" w:rsidP="00B250F3">
            <w:pPr>
              <w:jc w:val="center"/>
              <w:rPr>
                <w:rFonts w:asciiTheme="majorEastAsia" w:eastAsiaTheme="majorEastAsia" w:hAnsiTheme="majorEastAsia"/>
              </w:rPr>
            </w:pPr>
          </w:p>
        </w:tc>
        <w:tc>
          <w:tcPr>
            <w:tcW w:w="4469" w:type="dxa"/>
            <w:vMerge/>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216"/>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用途外使用の禁止</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216"/>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安全な運転</w:t>
            </w:r>
          </w:p>
        </w:tc>
        <w:tc>
          <w:tcPr>
            <w:tcW w:w="3685" w:type="dxa"/>
          </w:tcPr>
          <w:p w:rsidR="00AA6DD8" w:rsidRPr="00E42D72" w:rsidRDefault="004B0B05"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急</w:t>
            </w:r>
            <w:r w:rsidR="00AA6DD8" w:rsidRPr="00E42D72">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708"/>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走行場所の区分</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自社の施設内にあっては、フォークリフトの走行場所と歩行通路を区分していますか。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207"/>
        </w:trPr>
        <w:tc>
          <w:tcPr>
            <w:tcW w:w="37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無人暴走</w:t>
            </w: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作業手順の作成</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0C6427">
        <w:trPr>
          <w:trHeight w:val="1734"/>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逸走防止措置の実施</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206"/>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逸走時の</w:t>
            </w:r>
            <w:r w:rsidRPr="00E42D72">
              <w:rPr>
                <w:rFonts w:asciiTheme="majorEastAsia" w:eastAsiaTheme="majorEastAsia" w:hAnsiTheme="majorEastAsia" w:hint="eastAsia"/>
                <w:sz w:val="18"/>
                <w:szCs w:val="18"/>
              </w:rPr>
              <w:lastRenderedPageBreak/>
              <w:t>措置</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lastRenderedPageBreak/>
              <w:t>万一、トラックが動き出したときは、止め</w:t>
            </w:r>
            <w:r w:rsidRPr="00E42D72">
              <w:rPr>
                <w:rFonts w:asciiTheme="majorEastAsia" w:eastAsiaTheme="majorEastAsia" w:hAnsiTheme="majorEastAsia" w:hint="eastAsia"/>
                <w:sz w:val="18"/>
                <w:szCs w:val="18"/>
              </w:rPr>
              <w:lastRenderedPageBreak/>
              <w:t>ようとしたり、運転席に乗り込もうとすることは厳禁とし、周囲への警告を発せさせるようにしていますか。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206"/>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降雪・凍結時の配慮</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159"/>
        </w:trPr>
        <w:tc>
          <w:tcPr>
            <w:tcW w:w="372" w:type="dxa"/>
            <w:vMerge w:val="restart"/>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トラック後退時</w:t>
            </w: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確実な後方確認の実施</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159"/>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後退誘導による後退時の配慮</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159"/>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後退警告音</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979"/>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誘導員の配置</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自社の施設内にあっては、誘導員を配置し、トラックを安全に誘導させていますか。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r w:rsidR="00AA6DD8" w:rsidRPr="00E42D72" w:rsidTr="00AA6DD8">
        <w:trPr>
          <w:trHeight w:val="1121"/>
        </w:trPr>
        <w:tc>
          <w:tcPr>
            <w:tcW w:w="372" w:type="dxa"/>
            <w:vMerge/>
          </w:tcPr>
          <w:p w:rsidR="00AA6DD8" w:rsidRPr="00E42D72" w:rsidRDefault="00AA6DD8" w:rsidP="00B250F3">
            <w:pPr>
              <w:rPr>
                <w:rFonts w:asciiTheme="majorEastAsia" w:eastAsiaTheme="majorEastAsia" w:hAnsiTheme="majorEastAsia"/>
                <w:szCs w:val="21"/>
              </w:rPr>
            </w:pPr>
          </w:p>
        </w:tc>
        <w:tc>
          <w:tcPr>
            <w:tcW w:w="992" w:type="dxa"/>
          </w:tcPr>
          <w:p w:rsidR="00AA6DD8" w:rsidRPr="00E42D72" w:rsidRDefault="00AA6DD8" w:rsidP="00B250F3">
            <w:pPr>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走行場所の区分</w:t>
            </w:r>
          </w:p>
        </w:tc>
        <w:tc>
          <w:tcPr>
            <w:tcW w:w="3685" w:type="dxa"/>
          </w:tcPr>
          <w:p w:rsidR="00AA6DD8" w:rsidRPr="00E42D72" w:rsidRDefault="00AA6DD8" w:rsidP="00B250F3">
            <w:pPr>
              <w:ind w:firstLineChars="100" w:firstLine="180"/>
              <w:rPr>
                <w:rFonts w:asciiTheme="majorEastAsia" w:eastAsiaTheme="majorEastAsia" w:hAnsiTheme="majorEastAsia"/>
                <w:sz w:val="18"/>
                <w:szCs w:val="18"/>
              </w:rPr>
            </w:pPr>
            <w:r w:rsidRPr="00E42D72">
              <w:rPr>
                <w:rFonts w:asciiTheme="majorEastAsia" w:eastAsiaTheme="majorEastAsia" w:hAnsiTheme="majorEastAsia" w:hint="eastAsia"/>
                <w:sz w:val="18"/>
                <w:szCs w:val="18"/>
              </w:rPr>
              <w:t>自社の施設内にあっては、トラックの走行場所と歩行通路を区分していますか。</w:t>
            </w:r>
          </w:p>
        </w:tc>
        <w:tc>
          <w:tcPr>
            <w:tcW w:w="993" w:type="dxa"/>
          </w:tcPr>
          <w:p w:rsidR="00AA6DD8" w:rsidRPr="00E42D72" w:rsidRDefault="00AA6DD8" w:rsidP="00B250F3">
            <w:pPr>
              <w:jc w:val="center"/>
              <w:rPr>
                <w:rFonts w:asciiTheme="majorEastAsia" w:eastAsiaTheme="majorEastAsia" w:hAnsiTheme="majorEastAsia"/>
              </w:rPr>
            </w:pPr>
          </w:p>
        </w:tc>
        <w:tc>
          <w:tcPr>
            <w:tcW w:w="4469" w:type="dxa"/>
          </w:tcPr>
          <w:p w:rsidR="00AA6DD8" w:rsidRPr="00E42D72" w:rsidRDefault="00AA6DD8" w:rsidP="00B250F3">
            <w:pPr>
              <w:rPr>
                <w:rFonts w:asciiTheme="majorEastAsia" w:eastAsiaTheme="majorEastAsia" w:hAnsiTheme="majorEastAsia"/>
                <w:szCs w:val="21"/>
              </w:rPr>
            </w:pPr>
          </w:p>
        </w:tc>
      </w:tr>
    </w:tbl>
    <w:p w:rsidR="00AA6DD8" w:rsidRPr="00E42D72" w:rsidRDefault="00AA6DD8" w:rsidP="00AA6DD8">
      <w:pPr>
        <w:pStyle w:val="a3"/>
        <w:numPr>
          <w:ilvl w:val="0"/>
          <w:numId w:val="1"/>
        </w:numPr>
        <w:ind w:leftChars="0"/>
        <w:rPr>
          <w:sz w:val="18"/>
          <w:szCs w:val="18"/>
        </w:rPr>
      </w:pPr>
      <w:r w:rsidRPr="00E42D72">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AA6DD8" w:rsidRPr="00D16C25" w:rsidRDefault="00AA6DD8" w:rsidP="00AA6DD8">
      <w:pPr>
        <w:pStyle w:val="a3"/>
        <w:ind w:leftChars="0" w:left="570"/>
        <w:rPr>
          <w:sz w:val="18"/>
          <w:szCs w:val="18"/>
        </w:rPr>
      </w:pPr>
      <w:r w:rsidRPr="00E42D72">
        <w:rPr>
          <w:rFonts w:hint="eastAsia"/>
          <w:sz w:val="18"/>
          <w:szCs w:val="18"/>
        </w:rPr>
        <w:t xml:space="preserve">　</w:t>
      </w:r>
      <w:r w:rsidRPr="00E42D72">
        <w:rPr>
          <w:sz w:val="18"/>
          <w:szCs w:val="18"/>
        </w:rPr>
        <w:t>http://www.mhlw.go.jp/new-info/kobetu/roudou/gyousei/anzen/dl/131017.pdf</w:t>
      </w:r>
    </w:p>
    <w:p w:rsidR="002A1025" w:rsidRPr="00AA6DD8" w:rsidRDefault="002A1025"/>
    <w:sectPr w:rsidR="002A1025" w:rsidRPr="00AA6DD8" w:rsidSect="00AA6D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47" w:rsidRDefault="00287247" w:rsidP="00287247">
      <w:r>
        <w:separator/>
      </w:r>
    </w:p>
  </w:endnote>
  <w:endnote w:type="continuationSeparator" w:id="0">
    <w:p w:rsidR="00287247" w:rsidRDefault="00287247" w:rsidP="0028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47" w:rsidRDefault="00287247" w:rsidP="00287247">
      <w:r>
        <w:separator/>
      </w:r>
    </w:p>
  </w:footnote>
  <w:footnote w:type="continuationSeparator" w:id="0">
    <w:p w:rsidR="00287247" w:rsidRDefault="00287247" w:rsidP="00287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D8"/>
    <w:rsid w:val="000C6427"/>
    <w:rsid w:val="00287247"/>
    <w:rsid w:val="002A1025"/>
    <w:rsid w:val="004B0B05"/>
    <w:rsid w:val="00956285"/>
    <w:rsid w:val="00AA6DD8"/>
    <w:rsid w:val="00AB4F60"/>
    <w:rsid w:val="00C77E4C"/>
    <w:rsid w:val="00CE26BF"/>
    <w:rsid w:val="00D9486F"/>
    <w:rsid w:val="00E4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9069CB3-652B-4412-AE15-0FE4F1BE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DD8"/>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DD8"/>
    <w:pPr>
      <w:ind w:leftChars="400" w:left="840"/>
    </w:pPr>
  </w:style>
  <w:style w:type="paragraph" w:customStyle="1" w:styleId="a4">
    <w:name w:val="標準(太郎文書スタイル)"/>
    <w:uiPriority w:val="99"/>
    <w:rsid w:val="00AA6DD8"/>
    <w:pPr>
      <w:widowControl w:val="0"/>
      <w:suppressAutoHyphens/>
      <w:kinsoku w:val="0"/>
      <w:wordWrap w:val="0"/>
      <w:overflowPunct w:val="0"/>
      <w:autoSpaceDE w:val="0"/>
      <w:autoSpaceDN w:val="0"/>
      <w:adjustRightInd w:val="0"/>
      <w:textAlignment w:val="baseline"/>
    </w:pPr>
    <w:rPr>
      <w:rFonts w:ascii="Times New Roman" w:eastAsia="ＭＳ ゴシック" w:hAnsi="Times New Roman" w:cs="ＭＳ ゴシック"/>
      <w:color w:val="000000"/>
      <w:kern w:val="0"/>
      <w:sz w:val="24"/>
      <w:szCs w:val="24"/>
    </w:rPr>
  </w:style>
  <w:style w:type="paragraph" w:styleId="a5">
    <w:name w:val="Balloon Text"/>
    <w:basedOn w:val="a"/>
    <w:link w:val="a6"/>
    <w:uiPriority w:val="99"/>
    <w:semiHidden/>
    <w:unhideWhenUsed/>
    <w:rsid w:val="00AA6D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6DD8"/>
    <w:rPr>
      <w:rFonts w:asciiTheme="majorHAnsi" w:eastAsiaTheme="majorEastAsia" w:hAnsiTheme="majorHAnsi" w:cstheme="majorBidi"/>
      <w:sz w:val="18"/>
      <w:szCs w:val="18"/>
    </w:rPr>
  </w:style>
  <w:style w:type="paragraph" w:styleId="a7">
    <w:name w:val="header"/>
    <w:basedOn w:val="a"/>
    <w:link w:val="a8"/>
    <w:uiPriority w:val="99"/>
    <w:unhideWhenUsed/>
    <w:rsid w:val="00287247"/>
    <w:pPr>
      <w:tabs>
        <w:tab w:val="center" w:pos="4252"/>
        <w:tab w:val="right" w:pos="8504"/>
      </w:tabs>
      <w:snapToGrid w:val="0"/>
    </w:pPr>
  </w:style>
  <w:style w:type="character" w:customStyle="1" w:styleId="a8">
    <w:name w:val="ヘッダー (文字)"/>
    <w:basedOn w:val="a0"/>
    <w:link w:val="a7"/>
    <w:uiPriority w:val="99"/>
    <w:rsid w:val="00287247"/>
    <w:rPr>
      <w:rFonts w:eastAsia="ＭＳ ゴシック"/>
      <w:sz w:val="24"/>
    </w:rPr>
  </w:style>
  <w:style w:type="paragraph" w:styleId="a9">
    <w:name w:val="footer"/>
    <w:basedOn w:val="a"/>
    <w:link w:val="aa"/>
    <w:uiPriority w:val="99"/>
    <w:unhideWhenUsed/>
    <w:rsid w:val="00287247"/>
    <w:pPr>
      <w:tabs>
        <w:tab w:val="center" w:pos="4252"/>
        <w:tab w:val="right" w:pos="8504"/>
      </w:tabs>
      <w:snapToGrid w:val="0"/>
    </w:pPr>
  </w:style>
  <w:style w:type="character" w:customStyle="1" w:styleId="aa">
    <w:name w:val="フッター (文字)"/>
    <w:basedOn w:val="a0"/>
    <w:link w:val="a9"/>
    <w:uiPriority w:val="99"/>
    <w:rsid w:val="00287247"/>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賢</dc:creator>
  <cp:lastModifiedBy>山本拓生</cp:lastModifiedBy>
  <cp:revision>7</cp:revision>
  <cp:lastPrinted>2023-05-15T02:11:00Z</cp:lastPrinted>
  <dcterms:created xsi:type="dcterms:W3CDTF">2022-04-18T02:47:00Z</dcterms:created>
  <dcterms:modified xsi:type="dcterms:W3CDTF">2023-06-02T05:14:00Z</dcterms:modified>
</cp:coreProperties>
</file>