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F86E06AC-5381-4968-87B8-06B17F97F109}"/>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