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A0" w:rsidRDefault="00FF5757" w:rsidP="0046492B">
      <w:pPr>
        <w:kinsoku/>
        <w:wordWrap/>
        <w:overflowPunct/>
        <w:ind w:right="-2"/>
        <w:jc w:val="right"/>
        <w:rPr>
          <w:rFonts w:hint="eastAsia"/>
        </w:rPr>
      </w:pPr>
      <w:r>
        <w:rPr>
          <w:rFonts w:hint="eastAsia"/>
        </w:rPr>
        <w:t>別添２</w:t>
      </w:r>
      <w:bookmarkStart w:id="0" w:name="_GoBack"/>
      <w:bookmarkEnd w:id="0"/>
    </w:p>
    <w:p w:rsidR="00E752E3" w:rsidRDefault="00E752E3" w:rsidP="0046492B">
      <w:pPr>
        <w:kinsoku/>
        <w:wordWrap/>
        <w:overflowPunct/>
        <w:ind w:right="-2"/>
        <w:jc w:val="right"/>
      </w:pPr>
    </w:p>
    <w:p w:rsidR="008C149B" w:rsidRDefault="008C149B" w:rsidP="0050222E">
      <w:pPr>
        <w:kinsoku/>
        <w:wordWrap/>
        <w:overflowPunct/>
        <w:ind w:right="-2"/>
        <w:jc w:val="center"/>
      </w:pPr>
    </w:p>
    <w:p w:rsidR="0050222E" w:rsidRPr="009B78FD" w:rsidRDefault="0050222E" w:rsidP="0050222E">
      <w:pPr>
        <w:kinsoku/>
        <w:wordWrap/>
        <w:overflowPunct/>
        <w:ind w:right="-2"/>
        <w:jc w:val="center"/>
        <w:rPr>
          <w:rFonts w:asciiTheme="minorEastAsia" w:eastAsiaTheme="minorEastAsia" w:hAnsiTheme="minorEastAsia"/>
        </w:rPr>
      </w:pPr>
      <w:r w:rsidRPr="00E752E3">
        <w:rPr>
          <w:rFonts w:hint="eastAsia"/>
        </w:rPr>
        <w:t>平成</w:t>
      </w:r>
      <w:r>
        <w:rPr>
          <w:rFonts w:asciiTheme="minorEastAsia" w:eastAsiaTheme="minorEastAsia" w:hAnsiTheme="minorEastAsia" w:hint="eastAsia"/>
        </w:rPr>
        <w:t>30</w:t>
      </w:r>
      <w:r w:rsidRPr="00E752E3">
        <w:rPr>
          <w:rFonts w:hint="eastAsia"/>
        </w:rPr>
        <w:t>年度医療労務管理支援事業</w:t>
      </w:r>
    </w:p>
    <w:p w:rsidR="0050222E" w:rsidRDefault="0050222E" w:rsidP="0050222E">
      <w:pPr>
        <w:tabs>
          <w:tab w:val="left" w:pos="446"/>
        </w:tabs>
        <w:kinsoku/>
        <w:wordWrap/>
        <w:overflowPunct/>
        <w:jc w:val="center"/>
      </w:pPr>
      <w:r>
        <w:rPr>
          <w:rFonts w:hint="eastAsia"/>
        </w:rPr>
        <w:t>評価項目及び評価基準</w:t>
      </w:r>
    </w:p>
    <w:p w:rsidR="0050222E" w:rsidRDefault="0050222E" w:rsidP="0050222E">
      <w:pPr>
        <w:tabs>
          <w:tab w:val="left" w:pos="446"/>
        </w:tabs>
        <w:kinsoku/>
        <w:wordWrap/>
        <w:overflowPunct/>
        <w:spacing w:line="240" w:lineRule="exact"/>
      </w:pPr>
    </w:p>
    <w:p w:rsidR="0050222E" w:rsidRPr="0050222E" w:rsidRDefault="0050222E" w:rsidP="0050222E">
      <w:pPr>
        <w:tabs>
          <w:tab w:val="left" w:pos="446"/>
        </w:tabs>
        <w:kinsoku/>
        <w:wordWrap/>
        <w:overflowPunct/>
      </w:pPr>
      <w:r w:rsidRPr="0050222E">
        <w:rPr>
          <w:rFonts w:hint="eastAsia"/>
        </w:rPr>
        <w:t>１　落札方式</w:t>
      </w:r>
    </w:p>
    <w:p w:rsidR="0050222E" w:rsidRPr="0050222E" w:rsidRDefault="0050222E" w:rsidP="0050222E">
      <w:pPr>
        <w:pStyle w:val="af5"/>
        <w:spacing w:line="240" w:lineRule="exact"/>
        <w:ind w:leftChars="0" w:left="420"/>
        <w:rPr>
          <w:sz w:val="24"/>
        </w:rPr>
      </w:pPr>
    </w:p>
    <w:p w:rsidR="0050222E" w:rsidRPr="0050222E" w:rsidRDefault="0050222E" w:rsidP="0050222E">
      <w:pPr>
        <w:pStyle w:val="af5"/>
        <w:numPr>
          <w:ilvl w:val="0"/>
          <w:numId w:val="2"/>
        </w:numPr>
        <w:ind w:leftChars="0"/>
        <w:rPr>
          <w:sz w:val="24"/>
        </w:rPr>
      </w:pPr>
      <w:r w:rsidRPr="0050222E">
        <w:rPr>
          <w:rFonts w:hint="eastAsia"/>
          <w:sz w:val="24"/>
        </w:rPr>
        <w:t>総合評価落札方式</w:t>
      </w:r>
    </w:p>
    <w:p w:rsidR="0050222E" w:rsidRPr="0050222E" w:rsidRDefault="0050222E" w:rsidP="0050222E">
      <w:pPr>
        <w:kinsoku/>
        <w:wordWrap/>
        <w:overflowPunct/>
        <w:ind w:leftChars="200" w:left="480" w:firstLineChars="100" w:firstLine="240"/>
      </w:pPr>
      <w:r w:rsidRPr="0050222E">
        <w:rPr>
          <w:rFonts w:hint="eastAsia"/>
        </w:rPr>
        <w:t>本調達は、総合評価落札方式（加算方式）を採用するものとし、評価の方法については、以下のとおりとする。</w:t>
      </w:r>
    </w:p>
    <w:p w:rsidR="0050222E" w:rsidRPr="0050222E" w:rsidRDefault="0050222E" w:rsidP="0050222E">
      <w:pPr>
        <w:pStyle w:val="af5"/>
        <w:numPr>
          <w:ilvl w:val="0"/>
          <w:numId w:val="3"/>
        </w:numPr>
        <w:ind w:leftChars="0" w:left="851" w:hanging="405"/>
        <w:rPr>
          <w:sz w:val="24"/>
        </w:rPr>
      </w:pPr>
      <w:r w:rsidRPr="0050222E">
        <w:rPr>
          <w:rFonts w:hint="eastAsia"/>
          <w:sz w:val="24"/>
        </w:rPr>
        <w:t xml:space="preserve">　入札者に価格及び技術等をもって申込みをさせ、次の各要件に該当する者のうち、「（２）総合評価の方法」によって得られた数値のもっとも高い者を落札者とする。</w:t>
      </w:r>
    </w:p>
    <w:p w:rsidR="0050222E" w:rsidRPr="0050222E" w:rsidRDefault="0050222E" w:rsidP="0050222E">
      <w:pPr>
        <w:kinsoku/>
        <w:wordWrap/>
        <w:overflowPunct/>
        <w:ind w:firstLineChars="200" w:firstLine="480"/>
      </w:pPr>
      <w:r w:rsidRPr="0050222E">
        <w:rPr>
          <w:rFonts w:hint="eastAsia"/>
        </w:rPr>
        <w:t>（ⅰ）</w:t>
      </w:r>
      <w:r>
        <w:rPr>
          <w:rFonts w:hint="eastAsia"/>
        </w:rPr>
        <w:t xml:space="preserve">　</w:t>
      </w:r>
      <w:r w:rsidRPr="0050222E">
        <w:rPr>
          <w:rFonts w:hint="eastAsia"/>
        </w:rPr>
        <w:t>入札説明書を受領し、本事業の目的、内容等について十分理解していること。</w:t>
      </w:r>
    </w:p>
    <w:p w:rsidR="0050222E" w:rsidRPr="0050222E" w:rsidRDefault="0050222E" w:rsidP="0050222E">
      <w:pPr>
        <w:kinsoku/>
        <w:wordWrap/>
        <w:overflowPunct/>
        <w:ind w:firstLineChars="200" w:firstLine="480"/>
      </w:pPr>
      <w:r w:rsidRPr="0050222E">
        <w:rPr>
          <w:rFonts w:hint="eastAsia"/>
        </w:rPr>
        <w:t>（ⅱ）</w:t>
      </w:r>
      <w:r>
        <w:rPr>
          <w:rFonts w:hint="eastAsia"/>
        </w:rPr>
        <w:t xml:space="preserve"> </w:t>
      </w:r>
      <w:r w:rsidRPr="0050222E">
        <w:rPr>
          <w:rFonts w:hint="eastAsia"/>
          <w:sz w:val="16"/>
        </w:rPr>
        <w:t xml:space="preserve"> </w:t>
      </w:r>
      <w:r w:rsidRPr="0050222E">
        <w:rPr>
          <w:rFonts w:hint="eastAsia"/>
        </w:rPr>
        <w:t>入札価格が、予定価格の制限の範囲内であること。</w:t>
      </w:r>
    </w:p>
    <w:p w:rsidR="0050222E" w:rsidRPr="0050222E" w:rsidRDefault="0050222E" w:rsidP="0050222E">
      <w:pPr>
        <w:kinsoku/>
        <w:wordWrap/>
        <w:overflowPunct/>
        <w:ind w:leftChars="200" w:left="1080" w:hangingChars="250" w:hanging="600"/>
      </w:pPr>
      <w:r w:rsidRPr="0050222E">
        <w:rPr>
          <w:rFonts w:hint="eastAsia"/>
        </w:rPr>
        <w:t>（ⅲ）</w:t>
      </w:r>
      <w:r>
        <w:rPr>
          <w:rFonts w:hint="eastAsia"/>
        </w:rPr>
        <w:t xml:space="preserve">　</w:t>
      </w:r>
      <w:r w:rsidRPr="0050222E">
        <w:rPr>
          <w:rFonts w:hint="eastAsia"/>
        </w:rPr>
        <w:t>入札に係る技術等が、入札公告（これらに係る入札説明書を含む。以下同じ。）において明らかにした技術等の要求要件のうち必須とされた項目の最低限の要求要件をすべて満たしていること。</w:t>
      </w:r>
    </w:p>
    <w:p w:rsidR="0050222E" w:rsidRPr="0050222E" w:rsidRDefault="0050222E" w:rsidP="0050222E">
      <w:pPr>
        <w:pStyle w:val="af5"/>
        <w:numPr>
          <w:ilvl w:val="0"/>
          <w:numId w:val="3"/>
        </w:numPr>
        <w:ind w:leftChars="0" w:left="851" w:hanging="405"/>
        <w:rPr>
          <w:sz w:val="24"/>
        </w:rPr>
      </w:pPr>
      <w:r w:rsidRPr="0050222E">
        <w:rPr>
          <w:rFonts w:hint="eastAsia"/>
          <w:sz w:val="24"/>
        </w:rPr>
        <w:t xml:space="preserve">　上記①の数値のもっとも高い者が２人以上あるときは、当該者にくじを引かせて落札者を定める。</w:t>
      </w:r>
    </w:p>
    <w:p w:rsidR="0050222E" w:rsidRPr="0050222E" w:rsidRDefault="0050222E" w:rsidP="0050222E">
      <w:pPr>
        <w:kinsoku/>
        <w:wordWrap/>
        <w:overflowPunct/>
      </w:pPr>
    </w:p>
    <w:p w:rsidR="0050222E" w:rsidRPr="0050222E" w:rsidRDefault="0050222E" w:rsidP="0050222E">
      <w:pPr>
        <w:pStyle w:val="af5"/>
        <w:numPr>
          <w:ilvl w:val="0"/>
          <w:numId w:val="2"/>
        </w:numPr>
        <w:ind w:leftChars="0"/>
        <w:rPr>
          <w:sz w:val="24"/>
        </w:rPr>
      </w:pPr>
      <w:r w:rsidRPr="0050222E">
        <w:rPr>
          <w:rFonts w:hint="eastAsia"/>
          <w:sz w:val="24"/>
        </w:rPr>
        <w:t>総合評価の方法</w:t>
      </w:r>
    </w:p>
    <w:p w:rsidR="0050222E" w:rsidRPr="0050222E" w:rsidRDefault="0050222E" w:rsidP="0050222E">
      <w:pPr>
        <w:pStyle w:val="af5"/>
        <w:numPr>
          <w:ilvl w:val="0"/>
          <w:numId w:val="4"/>
        </w:numPr>
        <w:ind w:leftChars="0" w:left="851" w:hanging="405"/>
        <w:rPr>
          <w:sz w:val="24"/>
        </w:rPr>
      </w:pPr>
      <w:r w:rsidRPr="0050222E">
        <w:rPr>
          <w:rFonts w:hint="eastAsia"/>
          <w:sz w:val="24"/>
        </w:rPr>
        <w:t xml:space="preserve">　入札価格に対する得点（以下、価格点という。）配分と、技術等に対する得点（以下、技術点という。）の配分の割合は、価格点１に対して技術点２とする。なお、技術等の評価項目は、創造性または新規性等の価格と同等に評価できない項目とそれ以外の項目とに区分し、価格と同等に評価できる項目に対する得点配分と入札価格に対する得点配分は、等しいものとする。</w:t>
      </w:r>
    </w:p>
    <w:p w:rsidR="0050222E" w:rsidRPr="0050222E" w:rsidRDefault="0050222E" w:rsidP="0050222E">
      <w:pPr>
        <w:kinsoku/>
        <w:wordWrap/>
        <w:overflowPunct/>
        <w:ind w:firstLineChars="300" w:firstLine="720"/>
      </w:pPr>
      <w:r w:rsidRPr="0050222E">
        <w:rPr>
          <w:rFonts w:hint="eastAsia"/>
        </w:rPr>
        <w:t>〔得点配分〕</w:t>
      </w:r>
    </w:p>
    <w:p w:rsidR="0050222E" w:rsidRPr="0050222E" w:rsidRDefault="0050222E" w:rsidP="0050222E">
      <w:pPr>
        <w:kinsoku/>
        <w:wordWrap/>
        <w:overflowPunct/>
        <w:ind w:firstLineChars="300" w:firstLine="720"/>
      </w:pPr>
      <w:r w:rsidRPr="0050222E">
        <w:rPr>
          <w:rFonts w:hint="eastAsia"/>
        </w:rPr>
        <w:t xml:space="preserve">　　総得点：３００点</w:t>
      </w:r>
    </w:p>
    <w:p w:rsidR="0050222E" w:rsidRPr="0050222E" w:rsidRDefault="0050222E" w:rsidP="0050222E">
      <w:pPr>
        <w:kinsoku/>
        <w:wordWrap/>
        <w:overflowPunct/>
        <w:ind w:firstLineChars="300" w:firstLine="720"/>
      </w:pPr>
      <w:r w:rsidRPr="0050222E">
        <w:rPr>
          <w:rFonts w:hint="eastAsia"/>
        </w:rPr>
        <w:t xml:space="preserve">　　　価格点：１００点</w:t>
      </w:r>
    </w:p>
    <w:p w:rsidR="0050222E" w:rsidRPr="0050222E" w:rsidRDefault="0050222E" w:rsidP="0050222E">
      <w:pPr>
        <w:kinsoku/>
        <w:wordWrap/>
        <w:overflowPunct/>
        <w:ind w:firstLineChars="600" w:firstLine="1440"/>
      </w:pPr>
      <w:r w:rsidRPr="0050222E">
        <w:rPr>
          <w:rFonts w:hint="eastAsia"/>
        </w:rPr>
        <w:t>技術点：２００点</w:t>
      </w:r>
    </w:p>
    <w:p w:rsidR="0050222E" w:rsidRPr="0050222E" w:rsidRDefault="0050222E" w:rsidP="0050222E">
      <w:pPr>
        <w:kinsoku/>
        <w:wordWrap/>
        <w:overflowPunct/>
        <w:ind w:firstLineChars="300" w:firstLine="720"/>
      </w:pPr>
      <w:r w:rsidRPr="0050222E">
        <w:rPr>
          <w:rFonts w:hint="eastAsia"/>
        </w:rPr>
        <w:tab/>
      </w:r>
      <w:r w:rsidRPr="0050222E">
        <w:rPr>
          <w:rFonts w:hint="eastAsia"/>
        </w:rPr>
        <w:tab/>
      </w:r>
      <w:r w:rsidRPr="0050222E">
        <w:rPr>
          <w:rFonts w:hint="eastAsia"/>
        </w:rPr>
        <w:t>価格と同等に評価できない項目：１００点（評価項目１）</w:t>
      </w:r>
    </w:p>
    <w:p w:rsidR="0050222E" w:rsidRPr="0050222E" w:rsidRDefault="0050222E" w:rsidP="0050222E">
      <w:pPr>
        <w:kinsoku/>
        <w:wordWrap/>
        <w:overflowPunct/>
        <w:ind w:firstLineChars="300" w:firstLine="720"/>
      </w:pPr>
      <w:r w:rsidRPr="0050222E">
        <w:rPr>
          <w:rFonts w:hint="eastAsia"/>
        </w:rPr>
        <w:tab/>
      </w:r>
      <w:r w:rsidRPr="0050222E">
        <w:rPr>
          <w:rFonts w:hint="eastAsia"/>
        </w:rPr>
        <w:tab/>
      </w:r>
      <w:r w:rsidRPr="0050222E">
        <w:rPr>
          <w:rFonts w:hint="eastAsia"/>
        </w:rPr>
        <w:t>価格と同等に評価できる項目　：１００点（評価項目２）</w:t>
      </w:r>
    </w:p>
    <w:p w:rsidR="0050222E" w:rsidRPr="0050222E" w:rsidRDefault="0050222E" w:rsidP="0050222E">
      <w:pPr>
        <w:pStyle w:val="af5"/>
        <w:numPr>
          <w:ilvl w:val="0"/>
          <w:numId w:val="4"/>
        </w:numPr>
        <w:ind w:leftChars="0" w:left="669" w:hanging="223"/>
        <w:rPr>
          <w:sz w:val="24"/>
        </w:rPr>
      </w:pPr>
      <w:r w:rsidRPr="0050222E">
        <w:rPr>
          <w:rFonts w:hint="eastAsia"/>
          <w:sz w:val="24"/>
        </w:rPr>
        <w:t xml:space="preserve">　価格点の評価方法については、次のとおりとする。</w:t>
      </w:r>
    </w:p>
    <w:p w:rsidR="0050222E" w:rsidRPr="0050222E" w:rsidRDefault="0050222E" w:rsidP="0050222E">
      <w:pPr>
        <w:kinsoku/>
        <w:wordWrap/>
        <w:overflowPunct/>
        <w:ind w:leftChars="400" w:left="960" w:firstLineChars="100" w:firstLine="240"/>
      </w:pPr>
      <w:r w:rsidRPr="0050222E">
        <w:rPr>
          <w:rFonts w:hint="eastAsia"/>
        </w:rPr>
        <w:t>価格点は、入札価格を予定価格で除して得た値を１から減じて得た値に、入札価格に対する得点配分を乗じて得た値とする。</w:t>
      </w:r>
    </w:p>
    <w:p w:rsidR="0050222E" w:rsidRPr="0050222E" w:rsidRDefault="0050222E" w:rsidP="0050222E">
      <w:pPr>
        <w:kinsoku/>
        <w:wordWrap/>
        <w:overflowPunct/>
        <w:ind w:firstLineChars="400" w:firstLine="960"/>
      </w:pPr>
      <w:r w:rsidRPr="0050222E">
        <w:rPr>
          <w:rFonts w:hint="eastAsia"/>
        </w:rPr>
        <w:t>（価格点＝（１－入札価格／予定価格）×１００点、小数点以下切り捨て）</w:t>
      </w:r>
    </w:p>
    <w:p w:rsidR="0050222E" w:rsidRPr="0050222E" w:rsidRDefault="0050222E" w:rsidP="0050222E">
      <w:pPr>
        <w:pStyle w:val="af5"/>
        <w:numPr>
          <w:ilvl w:val="0"/>
          <w:numId w:val="4"/>
        </w:numPr>
        <w:ind w:leftChars="0" w:firstLine="86"/>
        <w:rPr>
          <w:rFonts w:ascii="ＭＳ 明朝" w:hAnsi="ＭＳ 明朝"/>
          <w:sz w:val="24"/>
        </w:rPr>
      </w:pPr>
      <w:r>
        <w:rPr>
          <w:rFonts w:ascii="ＭＳ 明朝" w:hAnsi="ＭＳ 明朝" w:hint="eastAsia"/>
          <w:sz w:val="24"/>
        </w:rPr>
        <w:t xml:space="preserve">　</w:t>
      </w:r>
      <w:r w:rsidRPr="0050222E">
        <w:rPr>
          <w:rFonts w:ascii="ＭＳ 明朝" w:hAnsi="ＭＳ 明朝" w:hint="eastAsia"/>
          <w:sz w:val="24"/>
        </w:rPr>
        <w:t>技術等の評価方法については、次のとおりとする。</w:t>
      </w:r>
    </w:p>
    <w:p w:rsidR="0050222E" w:rsidRPr="0050222E" w:rsidRDefault="0050222E" w:rsidP="0050222E">
      <w:pPr>
        <w:kinsoku/>
        <w:wordWrap/>
        <w:overflowPunct/>
        <w:ind w:leftChars="200" w:left="1200" w:hangingChars="300" w:hanging="720"/>
        <w:rPr>
          <w:rFonts w:ascii="ＭＳ 明朝" w:hAnsi="ＭＳ 明朝"/>
        </w:rPr>
      </w:pPr>
      <w:r w:rsidRPr="0050222E">
        <w:rPr>
          <w:rFonts w:ascii="ＭＳ 明朝" w:hAnsi="ＭＳ 明朝" w:hint="eastAsia"/>
        </w:rPr>
        <w:t>（ⅰ）</w:t>
      </w:r>
      <w:r>
        <w:rPr>
          <w:rFonts w:ascii="ＭＳ 明朝" w:hAnsi="ＭＳ 明朝" w:hint="eastAsia"/>
        </w:rPr>
        <w:t xml:space="preserve">　</w:t>
      </w:r>
      <w:r w:rsidRPr="0050222E">
        <w:rPr>
          <w:rFonts w:ascii="ＭＳ 明朝" w:hAnsi="ＭＳ 明朝" w:hint="eastAsia"/>
        </w:rPr>
        <w:t>評価の対象とする技術的要件については、当該調達の目的及び内容に応じ、事務、事業上の必要性等の観点から評価項目を設定し、これを必須とする項目とそれ以外の項目とに区分する。</w:t>
      </w:r>
    </w:p>
    <w:p w:rsidR="0050222E" w:rsidRPr="0050222E" w:rsidRDefault="0050222E" w:rsidP="0050222E">
      <w:pPr>
        <w:kinsoku/>
        <w:wordWrap/>
        <w:overflowPunct/>
        <w:ind w:leftChars="202" w:left="1205" w:hangingChars="300" w:hanging="720"/>
        <w:rPr>
          <w:rFonts w:ascii="ＭＳ 明朝" w:hAnsi="ＭＳ 明朝"/>
        </w:rPr>
      </w:pPr>
      <w:r w:rsidRPr="0050222E">
        <w:rPr>
          <w:rFonts w:hint="eastAsia"/>
        </w:rPr>
        <w:t>（ⅱ）</w:t>
      </w:r>
      <w:r>
        <w:rPr>
          <w:rFonts w:hint="eastAsia"/>
        </w:rPr>
        <w:t xml:space="preserve">　</w:t>
      </w:r>
      <w:r w:rsidRPr="0050222E">
        <w:rPr>
          <w:rFonts w:ascii="ＭＳ 明朝" w:hAnsi="ＭＳ 明朝" w:hint="eastAsia"/>
        </w:rPr>
        <w:t>必須とする項目については、項目ごとに最低限の要求要件を示し、Ｃ判定（０点）となっているものが１項目でもあれば、委員で協議を行い、不合格とするか否か決定する。</w:t>
      </w:r>
    </w:p>
    <w:p w:rsidR="0050222E" w:rsidRPr="0050222E" w:rsidRDefault="0050222E" w:rsidP="0050222E">
      <w:pPr>
        <w:kinsoku/>
        <w:wordWrap/>
        <w:overflowPunct/>
        <w:ind w:firstLineChars="200" w:firstLine="480"/>
        <w:rPr>
          <w:rFonts w:ascii="ＭＳ 明朝" w:hAnsi="ＭＳ 明朝"/>
        </w:rPr>
      </w:pPr>
      <w:r w:rsidRPr="0050222E">
        <w:rPr>
          <w:rFonts w:hint="eastAsia"/>
        </w:rPr>
        <w:lastRenderedPageBreak/>
        <w:t>（ⅲ）</w:t>
      </w:r>
      <w:r>
        <w:rPr>
          <w:rFonts w:hint="eastAsia"/>
        </w:rPr>
        <w:t xml:space="preserve"> </w:t>
      </w:r>
      <w:r>
        <w:rPr>
          <w:rFonts w:hint="eastAsia"/>
        </w:rPr>
        <w:t xml:space="preserve">　</w:t>
      </w:r>
      <w:r w:rsidRPr="0050222E">
        <w:rPr>
          <w:rFonts w:ascii="ＭＳ 明朝" w:hAnsi="ＭＳ 明朝" w:hint="eastAsia"/>
        </w:rPr>
        <w:t>必須とする項目以外の項目については、項目ごとに評価に応じ得点を与える。</w:t>
      </w:r>
    </w:p>
    <w:p w:rsidR="0050222E" w:rsidRPr="0050222E" w:rsidRDefault="0050222E" w:rsidP="0050222E">
      <w:pPr>
        <w:kinsoku/>
        <w:wordWrap/>
        <w:overflowPunct/>
        <w:ind w:firstLineChars="200" w:firstLine="480"/>
        <w:rPr>
          <w:rFonts w:ascii="ＭＳ 明朝" w:hAnsi="ＭＳ 明朝"/>
        </w:rPr>
      </w:pPr>
      <w:r w:rsidRPr="0050222E">
        <w:rPr>
          <w:rFonts w:hint="eastAsia"/>
        </w:rPr>
        <w:t>（ⅳ）</w:t>
      </w:r>
      <w:r>
        <w:rPr>
          <w:rFonts w:hint="eastAsia"/>
        </w:rPr>
        <w:t xml:space="preserve">  </w:t>
      </w:r>
      <w:r w:rsidRPr="0050222E">
        <w:rPr>
          <w:rFonts w:ascii="ＭＳ 明朝" w:hAnsi="ＭＳ 明朝" w:hint="eastAsia"/>
        </w:rPr>
        <w:t>各評価項目に対する得点配分は、その必要度及び重要度に応じて定める。</w:t>
      </w:r>
    </w:p>
    <w:p w:rsidR="0050222E" w:rsidRPr="0050222E" w:rsidRDefault="0050222E" w:rsidP="0050222E">
      <w:pPr>
        <w:kinsoku/>
        <w:wordWrap/>
        <w:overflowPunct/>
        <w:ind w:leftChars="201" w:left="1190" w:hangingChars="295" w:hanging="708"/>
        <w:rPr>
          <w:rFonts w:ascii="ＭＳ 明朝" w:hAnsi="ＭＳ 明朝"/>
        </w:rPr>
      </w:pPr>
      <w:r w:rsidRPr="0050222E">
        <w:rPr>
          <w:rFonts w:hint="eastAsia"/>
        </w:rPr>
        <w:t>（ⅴ）</w:t>
      </w:r>
      <w:r>
        <w:rPr>
          <w:rFonts w:hint="eastAsia"/>
        </w:rPr>
        <w:t xml:space="preserve">  </w:t>
      </w:r>
      <w:r w:rsidRPr="0050222E">
        <w:rPr>
          <w:rFonts w:ascii="ＭＳ 明朝" w:hAnsi="ＭＳ 明朝" w:hint="eastAsia"/>
        </w:rPr>
        <w:t>創造性、新規性等の価格と同等に評価できない項目の内容の履行を確保する観点から、価格と同等に評価できる項目についての評価を行うものとする。</w:t>
      </w:r>
    </w:p>
    <w:p w:rsidR="0050222E" w:rsidRPr="0050222E" w:rsidRDefault="0050222E" w:rsidP="0050222E">
      <w:pPr>
        <w:pStyle w:val="af5"/>
        <w:ind w:leftChars="199" w:left="1200" w:hangingChars="301" w:hanging="722"/>
        <w:rPr>
          <w:rFonts w:ascii="ＭＳ 明朝" w:hAnsi="ＭＳ 明朝"/>
          <w:sz w:val="24"/>
        </w:rPr>
      </w:pPr>
      <w:r w:rsidRPr="0050222E">
        <w:rPr>
          <w:rFonts w:hint="eastAsia"/>
          <w:sz w:val="24"/>
        </w:rPr>
        <w:t>（ⅵ）</w:t>
      </w:r>
      <w:r>
        <w:rPr>
          <w:rFonts w:hint="eastAsia"/>
          <w:sz w:val="24"/>
        </w:rPr>
        <w:t xml:space="preserve">  </w:t>
      </w:r>
      <w:r w:rsidRPr="0050222E">
        <w:rPr>
          <w:rFonts w:ascii="ＭＳ 明朝" w:hAnsi="ＭＳ 明朝" w:hint="eastAsia"/>
          <w:sz w:val="24"/>
        </w:rPr>
        <w:t>複数の評価者が評価を行うため、各評価者の評価結果（点数）を合計し、それを平均して技術点を算出する（小数点以下第１位を四捨五入する）。ただし、上記</w:t>
      </w:r>
      <w:r w:rsidRPr="0050222E">
        <w:rPr>
          <w:rFonts w:hint="eastAsia"/>
          <w:sz w:val="24"/>
        </w:rPr>
        <w:t>（ⅱ）</w:t>
      </w:r>
      <w:r w:rsidRPr="0050222E">
        <w:rPr>
          <w:rFonts w:ascii="ＭＳ 明朝" w:hAnsi="ＭＳ 明朝" w:hint="eastAsia"/>
          <w:sz w:val="24"/>
        </w:rPr>
        <w:t>において不合格となった者については、技術点の算出は行わない。</w:t>
      </w:r>
    </w:p>
    <w:p w:rsidR="0050222E" w:rsidRPr="0050222E" w:rsidRDefault="0050222E" w:rsidP="0050222E">
      <w:pPr>
        <w:pStyle w:val="af5"/>
        <w:numPr>
          <w:ilvl w:val="0"/>
          <w:numId w:val="4"/>
        </w:numPr>
        <w:ind w:leftChars="0" w:left="1008" w:hanging="562"/>
        <w:rPr>
          <w:sz w:val="24"/>
        </w:rPr>
      </w:pPr>
      <w:r>
        <w:rPr>
          <w:rFonts w:hint="eastAsia"/>
          <w:sz w:val="24"/>
        </w:rPr>
        <w:t xml:space="preserve">　</w:t>
      </w:r>
      <w:r w:rsidRPr="0050222E">
        <w:rPr>
          <w:rFonts w:hint="eastAsia"/>
          <w:sz w:val="24"/>
        </w:rPr>
        <w:t>価格及び技術等に係る総合評価は、入札者の価格点に当該入札者の申込みに係る技術等の評価項目の得点の合計を加えて得た数値をもって行う。</w:t>
      </w:r>
    </w:p>
    <w:p w:rsidR="0050222E" w:rsidRPr="0050222E" w:rsidRDefault="0050222E" w:rsidP="0050222E">
      <w:pPr>
        <w:pStyle w:val="af5"/>
        <w:ind w:leftChars="0" w:left="360"/>
        <w:rPr>
          <w:sz w:val="24"/>
        </w:rPr>
      </w:pPr>
    </w:p>
    <w:p w:rsidR="0050222E" w:rsidRPr="0050222E" w:rsidRDefault="0050222E" w:rsidP="0050222E">
      <w:pPr>
        <w:tabs>
          <w:tab w:val="left" w:pos="446"/>
        </w:tabs>
        <w:kinsoku/>
        <w:wordWrap/>
        <w:overflowPunct/>
      </w:pPr>
      <w:r w:rsidRPr="0050222E">
        <w:rPr>
          <w:rFonts w:hint="eastAsia"/>
        </w:rPr>
        <w:t>２　評価項目</w:t>
      </w:r>
    </w:p>
    <w:p w:rsidR="0050222E" w:rsidRPr="0050222E" w:rsidRDefault="0050222E" w:rsidP="0050222E">
      <w:pPr>
        <w:pStyle w:val="af5"/>
        <w:numPr>
          <w:ilvl w:val="0"/>
          <w:numId w:val="5"/>
        </w:numPr>
        <w:ind w:leftChars="0"/>
        <w:rPr>
          <w:sz w:val="24"/>
        </w:rPr>
      </w:pPr>
      <w:r>
        <w:rPr>
          <w:rFonts w:hint="eastAsia"/>
          <w:sz w:val="24"/>
        </w:rPr>
        <w:t xml:space="preserve">　</w:t>
      </w:r>
      <w:r w:rsidRPr="0050222E">
        <w:rPr>
          <w:rFonts w:hint="eastAsia"/>
          <w:sz w:val="24"/>
        </w:rPr>
        <w:t>総合評価点</w:t>
      </w:r>
    </w:p>
    <w:p w:rsidR="0050222E" w:rsidRPr="0050222E" w:rsidRDefault="0050222E" w:rsidP="0050222E">
      <w:pPr>
        <w:kinsoku/>
        <w:wordWrap/>
        <w:overflowPunct/>
        <w:ind w:leftChars="300" w:left="720" w:firstLineChars="100" w:firstLine="240"/>
      </w:pPr>
      <w:r w:rsidRPr="0050222E">
        <w:rPr>
          <w:rFonts w:hint="eastAsia"/>
        </w:rPr>
        <w:t>本調達における総合評価点の内訳は以下のとおりとする。</w:t>
      </w:r>
    </w:p>
    <w:p w:rsidR="0050222E" w:rsidRPr="0050222E" w:rsidRDefault="0050222E" w:rsidP="0050222E">
      <w:pPr>
        <w:kinsoku/>
        <w:wordWrap/>
        <w:overflowPunct/>
        <w:ind w:firstLineChars="400" w:firstLine="960"/>
      </w:pPr>
      <w:r w:rsidRPr="0050222E">
        <w:rPr>
          <w:rFonts w:hint="eastAsia"/>
        </w:rPr>
        <w:t>総合評価点＝技術点（２００点満点）＋価格点（１００点満点）</w:t>
      </w:r>
    </w:p>
    <w:p w:rsidR="0050222E" w:rsidRPr="0050222E" w:rsidRDefault="0050222E" w:rsidP="0050222E">
      <w:pPr>
        <w:kinsoku/>
        <w:wordWrap/>
        <w:overflowPunct/>
      </w:pPr>
    </w:p>
    <w:p w:rsidR="0050222E" w:rsidRPr="0050222E" w:rsidRDefault="0050222E" w:rsidP="0050222E">
      <w:pPr>
        <w:pStyle w:val="af5"/>
        <w:numPr>
          <w:ilvl w:val="0"/>
          <w:numId w:val="5"/>
        </w:numPr>
        <w:ind w:leftChars="0"/>
        <w:rPr>
          <w:sz w:val="24"/>
        </w:rPr>
      </w:pPr>
      <w:r>
        <w:rPr>
          <w:rFonts w:hint="eastAsia"/>
          <w:sz w:val="24"/>
        </w:rPr>
        <w:t xml:space="preserve">　</w:t>
      </w:r>
      <w:r w:rsidRPr="0050222E">
        <w:rPr>
          <w:rFonts w:hint="eastAsia"/>
          <w:sz w:val="24"/>
        </w:rPr>
        <w:t>技術点対象項目</w:t>
      </w:r>
    </w:p>
    <w:p w:rsidR="0050222E" w:rsidRPr="0050222E" w:rsidRDefault="0050222E" w:rsidP="0050222E">
      <w:pPr>
        <w:kinsoku/>
        <w:wordWrap/>
        <w:overflowPunct/>
        <w:ind w:leftChars="300" w:left="720" w:firstLineChars="100" w:firstLine="240"/>
      </w:pPr>
      <w:r w:rsidRPr="0050222E">
        <w:rPr>
          <w:rFonts w:hint="eastAsia"/>
        </w:rPr>
        <w:t>本調達における技術点の内訳は以下のとおりとする。（詳細については、別紙：総合評価基準書を参照のこと。）</w:t>
      </w:r>
    </w:p>
    <w:p w:rsidR="0050222E" w:rsidRPr="0050222E" w:rsidRDefault="0050222E" w:rsidP="0050222E">
      <w:pPr>
        <w:kinsoku/>
        <w:wordWrap/>
        <w:overflowPunct/>
        <w:ind w:firstLineChars="400" w:firstLine="960"/>
      </w:pPr>
      <w:r w:rsidRPr="0050222E">
        <w:rPr>
          <w:rFonts w:hint="eastAsia"/>
        </w:rPr>
        <w:t>技術点＝１．事業内容及び実施方法（１００点満点）</w:t>
      </w:r>
    </w:p>
    <w:p w:rsidR="0050222E" w:rsidRPr="0050222E" w:rsidRDefault="0050222E" w:rsidP="0050222E">
      <w:pPr>
        <w:kinsoku/>
        <w:wordWrap/>
        <w:overflowPunct/>
        <w:ind w:firstLineChars="700" w:firstLine="1680"/>
      </w:pPr>
      <w:r w:rsidRPr="0050222E">
        <w:rPr>
          <w:rFonts w:hint="eastAsia"/>
        </w:rPr>
        <w:t>＋２．事業実施主体の適格性（１００点満点）</w:t>
      </w:r>
    </w:p>
    <w:p w:rsidR="0050222E" w:rsidRPr="0050222E" w:rsidRDefault="0050222E" w:rsidP="0050222E">
      <w:pPr>
        <w:kinsoku/>
        <w:wordWrap/>
        <w:overflowPunct/>
        <w:ind w:firstLineChars="600" w:firstLine="1440"/>
      </w:pPr>
    </w:p>
    <w:p w:rsidR="0050222E" w:rsidRPr="0050222E" w:rsidRDefault="0050222E" w:rsidP="0050222E">
      <w:pPr>
        <w:pStyle w:val="af5"/>
        <w:numPr>
          <w:ilvl w:val="0"/>
          <w:numId w:val="5"/>
        </w:numPr>
        <w:ind w:leftChars="0"/>
        <w:rPr>
          <w:sz w:val="24"/>
        </w:rPr>
      </w:pPr>
      <w:r w:rsidRPr="0050222E">
        <w:rPr>
          <w:rFonts w:hint="eastAsia"/>
          <w:sz w:val="24"/>
        </w:rPr>
        <w:t>配点方法</w:t>
      </w:r>
    </w:p>
    <w:p w:rsidR="0050222E" w:rsidRPr="0050222E" w:rsidRDefault="0050222E" w:rsidP="0050222E">
      <w:pPr>
        <w:kinsoku/>
        <w:wordWrap/>
        <w:overflowPunct/>
        <w:ind w:leftChars="200" w:left="480" w:firstLineChars="100" w:firstLine="240"/>
      </w:pPr>
      <w:r w:rsidRPr="0050222E">
        <w:rPr>
          <w:rFonts w:hint="eastAsia"/>
        </w:rPr>
        <w:t>「業務の実施内容等」、「独自提案の内容、実施方法」、「事業実施主体の適格性」の加点に係る要件に関しては、提案書の各項目について、それぞれ以下の採点基準により得点を与え、その合計を技術点とする。</w:t>
      </w:r>
    </w:p>
    <w:p w:rsidR="0050222E" w:rsidRPr="0050222E" w:rsidRDefault="0050222E" w:rsidP="0050222E">
      <w:pPr>
        <w:kinsoku/>
        <w:wordWrap/>
        <w:overflowPunct/>
        <w:spacing w:line="200" w:lineRule="exact"/>
        <w:ind w:leftChars="200" w:left="480" w:firstLineChars="100" w:firstLine="240"/>
      </w:pPr>
    </w:p>
    <w:tbl>
      <w:tblPr>
        <w:tblW w:w="100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4819"/>
        <w:gridCol w:w="1914"/>
        <w:gridCol w:w="1914"/>
      </w:tblGrid>
      <w:tr w:rsidR="0050222E" w:rsidRPr="0050222E" w:rsidTr="0050222E">
        <w:tc>
          <w:tcPr>
            <w:tcW w:w="1403" w:type="dxa"/>
            <w:vMerge w:val="restart"/>
          </w:tcPr>
          <w:p w:rsidR="0050222E" w:rsidRPr="0050222E" w:rsidRDefault="0050222E" w:rsidP="0050222E">
            <w:pPr>
              <w:kinsoku/>
              <w:wordWrap/>
              <w:overflowPunct/>
              <w:jc w:val="center"/>
            </w:pPr>
          </w:p>
          <w:p w:rsidR="0050222E" w:rsidRPr="0050222E" w:rsidRDefault="0050222E" w:rsidP="0050222E">
            <w:pPr>
              <w:kinsoku/>
              <w:wordWrap/>
              <w:overflowPunct/>
              <w:jc w:val="center"/>
            </w:pPr>
            <w:r w:rsidRPr="0050222E">
              <w:rPr>
                <w:rFonts w:hint="eastAsia"/>
              </w:rPr>
              <w:t>評価ランク</w:t>
            </w:r>
          </w:p>
        </w:tc>
        <w:tc>
          <w:tcPr>
            <w:tcW w:w="4819" w:type="dxa"/>
            <w:vMerge w:val="restart"/>
          </w:tcPr>
          <w:p w:rsidR="0050222E" w:rsidRPr="0050222E" w:rsidRDefault="0050222E" w:rsidP="0050222E">
            <w:pPr>
              <w:kinsoku/>
              <w:wordWrap/>
              <w:overflowPunct/>
              <w:jc w:val="center"/>
            </w:pPr>
          </w:p>
          <w:p w:rsidR="0050222E" w:rsidRPr="0050222E" w:rsidRDefault="0050222E" w:rsidP="0050222E">
            <w:pPr>
              <w:kinsoku/>
              <w:wordWrap/>
              <w:overflowPunct/>
              <w:jc w:val="center"/>
            </w:pPr>
            <w:r w:rsidRPr="0050222E">
              <w:rPr>
                <w:rFonts w:hint="eastAsia"/>
              </w:rPr>
              <w:t>評価基準</w:t>
            </w:r>
          </w:p>
        </w:tc>
        <w:tc>
          <w:tcPr>
            <w:tcW w:w="3828" w:type="dxa"/>
            <w:gridSpan w:val="2"/>
          </w:tcPr>
          <w:p w:rsidR="0050222E" w:rsidRPr="0050222E" w:rsidRDefault="0050222E" w:rsidP="0050222E">
            <w:pPr>
              <w:kinsoku/>
              <w:wordWrap/>
              <w:overflowPunct/>
              <w:jc w:val="center"/>
            </w:pPr>
            <w:r w:rsidRPr="0050222E">
              <w:rPr>
                <w:rFonts w:hint="eastAsia"/>
              </w:rPr>
              <w:t>項目別得点</w:t>
            </w:r>
          </w:p>
        </w:tc>
      </w:tr>
      <w:tr w:rsidR="0050222E" w:rsidRPr="0050222E" w:rsidTr="0050222E">
        <w:trPr>
          <w:trHeight w:val="503"/>
        </w:trPr>
        <w:tc>
          <w:tcPr>
            <w:tcW w:w="1403" w:type="dxa"/>
            <w:vMerge/>
          </w:tcPr>
          <w:p w:rsidR="0050222E" w:rsidRPr="0050222E" w:rsidRDefault="0050222E" w:rsidP="0050222E">
            <w:pPr>
              <w:kinsoku/>
              <w:wordWrap/>
              <w:overflowPunct/>
            </w:pPr>
          </w:p>
        </w:tc>
        <w:tc>
          <w:tcPr>
            <w:tcW w:w="4819" w:type="dxa"/>
            <w:vMerge/>
          </w:tcPr>
          <w:p w:rsidR="0050222E" w:rsidRPr="0050222E" w:rsidRDefault="0050222E" w:rsidP="0050222E">
            <w:pPr>
              <w:kinsoku/>
              <w:wordWrap/>
              <w:overflowPunct/>
            </w:pPr>
          </w:p>
        </w:tc>
        <w:tc>
          <w:tcPr>
            <w:tcW w:w="1914" w:type="dxa"/>
            <w:tcBorders>
              <w:right w:val="single" w:sz="4" w:space="0" w:color="auto"/>
            </w:tcBorders>
            <w:vAlign w:val="center"/>
          </w:tcPr>
          <w:p w:rsidR="0050222E" w:rsidRPr="0050222E" w:rsidRDefault="0050222E" w:rsidP="0050222E">
            <w:pPr>
              <w:kinsoku/>
              <w:wordWrap/>
              <w:overflowPunct/>
              <w:jc w:val="center"/>
            </w:pPr>
            <w:r w:rsidRPr="0050222E">
              <w:rPr>
                <w:rFonts w:hint="eastAsia"/>
              </w:rPr>
              <w:t>15</w:t>
            </w:r>
            <w:r w:rsidRPr="0050222E">
              <w:rPr>
                <w:rFonts w:hint="eastAsia"/>
              </w:rPr>
              <w:t>点満点</w:t>
            </w:r>
          </w:p>
        </w:tc>
        <w:tc>
          <w:tcPr>
            <w:tcW w:w="1914" w:type="dxa"/>
            <w:tcBorders>
              <w:left w:val="single" w:sz="4" w:space="0" w:color="auto"/>
            </w:tcBorders>
            <w:vAlign w:val="center"/>
          </w:tcPr>
          <w:p w:rsidR="0050222E" w:rsidRPr="0050222E" w:rsidRDefault="0050222E" w:rsidP="0050222E">
            <w:pPr>
              <w:kinsoku/>
              <w:wordWrap/>
              <w:overflowPunct/>
              <w:jc w:val="center"/>
            </w:pPr>
            <w:r w:rsidRPr="0050222E">
              <w:rPr>
                <w:rFonts w:hint="eastAsia"/>
              </w:rPr>
              <w:t>10</w:t>
            </w:r>
            <w:r w:rsidRPr="0050222E">
              <w:rPr>
                <w:rFonts w:hint="eastAsia"/>
              </w:rPr>
              <w:t>点満点</w:t>
            </w:r>
          </w:p>
        </w:tc>
      </w:tr>
      <w:tr w:rsidR="0050222E" w:rsidRPr="0050222E" w:rsidTr="0050222E">
        <w:trPr>
          <w:trHeight w:val="592"/>
        </w:trPr>
        <w:tc>
          <w:tcPr>
            <w:tcW w:w="1403" w:type="dxa"/>
            <w:vAlign w:val="center"/>
          </w:tcPr>
          <w:p w:rsidR="0050222E" w:rsidRPr="0050222E" w:rsidRDefault="0050222E" w:rsidP="0050222E">
            <w:pPr>
              <w:kinsoku/>
              <w:wordWrap/>
              <w:overflowPunct/>
              <w:jc w:val="center"/>
            </w:pPr>
            <w:r w:rsidRPr="0050222E">
              <w:rPr>
                <w:rFonts w:hint="eastAsia"/>
              </w:rPr>
              <w:t>S</w:t>
            </w:r>
          </w:p>
        </w:tc>
        <w:tc>
          <w:tcPr>
            <w:tcW w:w="4819" w:type="dxa"/>
            <w:vAlign w:val="center"/>
          </w:tcPr>
          <w:p w:rsidR="0050222E" w:rsidRPr="0050222E" w:rsidRDefault="0050222E" w:rsidP="0050222E">
            <w:pPr>
              <w:kinsoku/>
              <w:wordWrap/>
              <w:overflowPunct/>
            </w:pPr>
            <w:r w:rsidRPr="0050222E">
              <w:rPr>
                <w:rFonts w:hint="eastAsia"/>
              </w:rPr>
              <w:t>通常の想定を超える卓越した提案内容である。</w:t>
            </w:r>
          </w:p>
        </w:tc>
        <w:tc>
          <w:tcPr>
            <w:tcW w:w="1914" w:type="dxa"/>
            <w:tcBorders>
              <w:right w:val="single" w:sz="4" w:space="0" w:color="auto"/>
            </w:tcBorders>
            <w:vAlign w:val="center"/>
          </w:tcPr>
          <w:p w:rsidR="0050222E" w:rsidRPr="0050222E" w:rsidRDefault="0050222E" w:rsidP="0050222E">
            <w:pPr>
              <w:kinsoku/>
              <w:wordWrap/>
              <w:overflowPunct/>
              <w:ind w:left="87"/>
              <w:jc w:val="center"/>
            </w:pPr>
            <w:r w:rsidRPr="0050222E">
              <w:rPr>
                <w:rFonts w:hint="eastAsia"/>
              </w:rPr>
              <w:t>15</w:t>
            </w:r>
          </w:p>
        </w:tc>
        <w:tc>
          <w:tcPr>
            <w:tcW w:w="1914" w:type="dxa"/>
            <w:tcBorders>
              <w:left w:val="single" w:sz="4" w:space="0" w:color="auto"/>
            </w:tcBorders>
            <w:vAlign w:val="center"/>
          </w:tcPr>
          <w:p w:rsidR="0050222E" w:rsidRPr="0050222E" w:rsidRDefault="0050222E" w:rsidP="0050222E">
            <w:pPr>
              <w:kinsoku/>
              <w:wordWrap/>
              <w:overflowPunct/>
              <w:ind w:left="87"/>
              <w:jc w:val="center"/>
            </w:pPr>
            <w:r w:rsidRPr="0050222E">
              <w:rPr>
                <w:rFonts w:hint="eastAsia"/>
              </w:rPr>
              <w:t>10</w:t>
            </w:r>
          </w:p>
        </w:tc>
      </w:tr>
      <w:tr w:rsidR="0050222E" w:rsidRPr="0050222E" w:rsidTr="0050222E">
        <w:trPr>
          <w:trHeight w:val="560"/>
        </w:trPr>
        <w:tc>
          <w:tcPr>
            <w:tcW w:w="1403" w:type="dxa"/>
            <w:vAlign w:val="center"/>
          </w:tcPr>
          <w:p w:rsidR="0050222E" w:rsidRPr="0050222E" w:rsidRDefault="0050222E" w:rsidP="0050222E">
            <w:pPr>
              <w:kinsoku/>
              <w:wordWrap/>
              <w:overflowPunct/>
              <w:jc w:val="center"/>
            </w:pPr>
            <w:r w:rsidRPr="0050222E">
              <w:rPr>
                <w:rFonts w:hint="eastAsia"/>
              </w:rPr>
              <w:t>A</w:t>
            </w:r>
          </w:p>
        </w:tc>
        <w:tc>
          <w:tcPr>
            <w:tcW w:w="4819" w:type="dxa"/>
            <w:vAlign w:val="center"/>
          </w:tcPr>
          <w:p w:rsidR="0050222E" w:rsidRPr="0050222E" w:rsidRDefault="0050222E" w:rsidP="0050222E">
            <w:pPr>
              <w:kinsoku/>
              <w:wordWrap/>
              <w:overflowPunct/>
            </w:pPr>
            <w:r w:rsidRPr="0050222E">
              <w:rPr>
                <w:rFonts w:hint="eastAsia"/>
              </w:rPr>
              <w:t>通常想定される提案としては優れた内容である。</w:t>
            </w:r>
          </w:p>
        </w:tc>
        <w:tc>
          <w:tcPr>
            <w:tcW w:w="1914" w:type="dxa"/>
            <w:tcBorders>
              <w:right w:val="single" w:sz="4" w:space="0" w:color="auto"/>
            </w:tcBorders>
            <w:vAlign w:val="center"/>
          </w:tcPr>
          <w:p w:rsidR="0050222E" w:rsidRPr="0050222E" w:rsidRDefault="0050222E" w:rsidP="0050222E">
            <w:pPr>
              <w:kinsoku/>
              <w:wordWrap/>
              <w:overflowPunct/>
              <w:ind w:left="177"/>
              <w:jc w:val="center"/>
            </w:pPr>
            <w:r w:rsidRPr="0050222E">
              <w:rPr>
                <w:rFonts w:hint="eastAsia"/>
              </w:rPr>
              <w:t>8</w:t>
            </w:r>
          </w:p>
        </w:tc>
        <w:tc>
          <w:tcPr>
            <w:tcW w:w="1914" w:type="dxa"/>
            <w:tcBorders>
              <w:left w:val="single" w:sz="4" w:space="0" w:color="auto"/>
            </w:tcBorders>
            <w:vAlign w:val="center"/>
          </w:tcPr>
          <w:p w:rsidR="0050222E" w:rsidRPr="0050222E" w:rsidRDefault="0050222E" w:rsidP="0050222E">
            <w:pPr>
              <w:kinsoku/>
              <w:wordWrap/>
              <w:overflowPunct/>
              <w:ind w:left="177"/>
              <w:jc w:val="center"/>
            </w:pPr>
            <w:r w:rsidRPr="0050222E">
              <w:rPr>
                <w:rFonts w:hint="eastAsia"/>
              </w:rPr>
              <w:t>5</w:t>
            </w:r>
          </w:p>
        </w:tc>
      </w:tr>
      <w:tr w:rsidR="0050222E" w:rsidRPr="0050222E" w:rsidTr="0050222E">
        <w:trPr>
          <w:trHeight w:val="554"/>
        </w:trPr>
        <w:tc>
          <w:tcPr>
            <w:tcW w:w="1403" w:type="dxa"/>
            <w:vAlign w:val="center"/>
          </w:tcPr>
          <w:p w:rsidR="0050222E" w:rsidRPr="0050222E" w:rsidRDefault="0050222E" w:rsidP="0050222E">
            <w:pPr>
              <w:kinsoku/>
              <w:wordWrap/>
              <w:overflowPunct/>
              <w:jc w:val="center"/>
            </w:pPr>
            <w:r w:rsidRPr="0050222E">
              <w:rPr>
                <w:rFonts w:hint="eastAsia"/>
              </w:rPr>
              <w:t>B</w:t>
            </w:r>
          </w:p>
        </w:tc>
        <w:tc>
          <w:tcPr>
            <w:tcW w:w="4819" w:type="dxa"/>
            <w:vAlign w:val="center"/>
          </w:tcPr>
          <w:p w:rsidR="0050222E" w:rsidRPr="0050222E" w:rsidRDefault="0050222E" w:rsidP="0050222E">
            <w:pPr>
              <w:kinsoku/>
              <w:wordWrap/>
              <w:overflowPunct/>
            </w:pPr>
            <w:r w:rsidRPr="0050222E">
              <w:rPr>
                <w:rFonts w:hint="eastAsia"/>
              </w:rPr>
              <w:t>概ね妥当な内容であると認められる。</w:t>
            </w:r>
          </w:p>
        </w:tc>
        <w:tc>
          <w:tcPr>
            <w:tcW w:w="1914" w:type="dxa"/>
            <w:tcBorders>
              <w:right w:val="single" w:sz="4" w:space="0" w:color="auto"/>
            </w:tcBorders>
            <w:vAlign w:val="center"/>
          </w:tcPr>
          <w:p w:rsidR="0050222E" w:rsidRPr="0050222E" w:rsidRDefault="0050222E" w:rsidP="0050222E">
            <w:pPr>
              <w:kinsoku/>
              <w:wordWrap/>
              <w:overflowPunct/>
              <w:ind w:left="177"/>
              <w:jc w:val="center"/>
            </w:pPr>
            <w:r w:rsidRPr="0050222E">
              <w:rPr>
                <w:rFonts w:hint="eastAsia"/>
              </w:rPr>
              <w:t>4</w:t>
            </w:r>
          </w:p>
        </w:tc>
        <w:tc>
          <w:tcPr>
            <w:tcW w:w="1914" w:type="dxa"/>
            <w:tcBorders>
              <w:left w:val="single" w:sz="4" w:space="0" w:color="auto"/>
            </w:tcBorders>
            <w:vAlign w:val="center"/>
          </w:tcPr>
          <w:p w:rsidR="0050222E" w:rsidRPr="0050222E" w:rsidRDefault="0050222E" w:rsidP="0050222E">
            <w:pPr>
              <w:kinsoku/>
              <w:wordWrap/>
              <w:overflowPunct/>
              <w:ind w:left="177"/>
              <w:jc w:val="center"/>
            </w:pPr>
            <w:r w:rsidRPr="0050222E">
              <w:rPr>
                <w:rFonts w:hint="eastAsia"/>
              </w:rPr>
              <w:t>3</w:t>
            </w:r>
          </w:p>
        </w:tc>
      </w:tr>
      <w:tr w:rsidR="0050222E" w:rsidRPr="0050222E" w:rsidTr="0050222E">
        <w:trPr>
          <w:trHeight w:val="560"/>
        </w:trPr>
        <w:tc>
          <w:tcPr>
            <w:tcW w:w="1403" w:type="dxa"/>
            <w:vAlign w:val="center"/>
          </w:tcPr>
          <w:p w:rsidR="0050222E" w:rsidRPr="0050222E" w:rsidRDefault="0050222E" w:rsidP="0050222E">
            <w:pPr>
              <w:kinsoku/>
              <w:wordWrap/>
              <w:overflowPunct/>
              <w:jc w:val="center"/>
            </w:pPr>
            <w:r w:rsidRPr="0050222E">
              <w:rPr>
                <w:rFonts w:hint="eastAsia"/>
              </w:rPr>
              <w:t>C</w:t>
            </w:r>
          </w:p>
        </w:tc>
        <w:tc>
          <w:tcPr>
            <w:tcW w:w="4819" w:type="dxa"/>
            <w:vAlign w:val="center"/>
          </w:tcPr>
          <w:p w:rsidR="0050222E" w:rsidRPr="0050222E" w:rsidRDefault="0050222E" w:rsidP="0050222E">
            <w:pPr>
              <w:kinsoku/>
              <w:wordWrap/>
              <w:overflowPunct/>
            </w:pPr>
            <w:r w:rsidRPr="0050222E">
              <w:rPr>
                <w:rFonts w:hint="eastAsia"/>
              </w:rPr>
              <w:t>内容が不十分である、あるいは記載がない。</w:t>
            </w:r>
          </w:p>
        </w:tc>
        <w:tc>
          <w:tcPr>
            <w:tcW w:w="1914" w:type="dxa"/>
            <w:tcBorders>
              <w:right w:val="single" w:sz="4" w:space="0" w:color="auto"/>
            </w:tcBorders>
            <w:vAlign w:val="center"/>
          </w:tcPr>
          <w:p w:rsidR="0050222E" w:rsidRPr="0050222E" w:rsidRDefault="0050222E" w:rsidP="0050222E">
            <w:pPr>
              <w:kinsoku/>
              <w:wordWrap/>
              <w:overflowPunct/>
              <w:ind w:left="177"/>
              <w:jc w:val="center"/>
            </w:pPr>
            <w:r w:rsidRPr="0050222E">
              <w:rPr>
                <w:rFonts w:hint="eastAsia"/>
              </w:rPr>
              <w:t>0</w:t>
            </w:r>
          </w:p>
        </w:tc>
        <w:tc>
          <w:tcPr>
            <w:tcW w:w="1914" w:type="dxa"/>
            <w:tcBorders>
              <w:left w:val="single" w:sz="4" w:space="0" w:color="auto"/>
            </w:tcBorders>
            <w:vAlign w:val="center"/>
          </w:tcPr>
          <w:p w:rsidR="0050222E" w:rsidRPr="0050222E" w:rsidRDefault="0050222E" w:rsidP="0050222E">
            <w:pPr>
              <w:kinsoku/>
              <w:wordWrap/>
              <w:overflowPunct/>
              <w:ind w:left="177"/>
              <w:jc w:val="center"/>
            </w:pPr>
            <w:r w:rsidRPr="0050222E">
              <w:rPr>
                <w:rFonts w:hint="eastAsia"/>
              </w:rPr>
              <w:t>0</w:t>
            </w:r>
          </w:p>
        </w:tc>
      </w:tr>
    </w:tbl>
    <w:p w:rsidR="0050222E" w:rsidRPr="0050222E" w:rsidRDefault="0050222E" w:rsidP="0050222E">
      <w:pPr>
        <w:ind w:leftChars="200" w:left="480" w:right="83" w:firstLineChars="100" w:firstLine="240"/>
      </w:pPr>
    </w:p>
    <w:p w:rsidR="0050222E" w:rsidRPr="0050222E" w:rsidRDefault="0050222E" w:rsidP="0050222E">
      <w:pPr>
        <w:ind w:leftChars="200" w:left="480" w:right="83" w:firstLineChars="100" w:firstLine="240"/>
      </w:pPr>
      <w:r w:rsidRPr="0050222E">
        <w:rPr>
          <w:rFonts w:hint="eastAsia"/>
        </w:rPr>
        <w:t>なお、「ワークライフバランス等の推進に関する指標」については、以下の評価基準により採点する。複数の認定等に該当する場合は、最も配点が高い区分により加点を行う。</w:t>
      </w:r>
    </w:p>
    <w:p w:rsidR="0050222E" w:rsidRPr="0050222E" w:rsidRDefault="0050222E" w:rsidP="0050222E">
      <w:pPr>
        <w:ind w:leftChars="200" w:left="720" w:right="83" w:hangingChars="100" w:hanging="240"/>
      </w:pPr>
      <w:r w:rsidRPr="0050222E">
        <w:rPr>
          <w:rFonts w:hint="eastAsia"/>
        </w:rPr>
        <w:t>○　女性の職業生活における活躍の推進に関する法律（女性活躍推進法）に基づく認定（えるぼし認定企業）</w:t>
      </w:r>
    </w:p>
    <w:p w:rsidR="0050222E" w:rsidRPr="0050222E" w:rsidRDefault="0050222E" w:rsidP="0050222E">
      <w:pPr>
        <w:ind w:leftChars="200" w:left="480" w:right="83" w:firstLineChars="100" w:firstLine="240"/>
      </w:pPr>
      <w:r w:rsidRPr="0050222E">
        <w:rPr>
          <w:rFonts w:hint="eastAsia"/>
        </w:rPr>
        <w:t xml:space="preserve">・　１段階目（※１）　</w:t>
      </w:r>
      <w:r w:rsidRPr="0050222E">
        <w:rPr>
          <w:rFonts w:hint="eastAsia"/>
        </w:rPr>
        <w:t>10</w:t>
      </w:r>
      <w:r w:rsidRPr="0050222E">
        <w:rPr>
          <w:rFonts w:hint="eastAsia"/>
        </w:rPr>
        <w:t>点</w:t>
      </w:r>
    </w:p>
    <w:p w:rsidR="0050222E" w:rsidRPr="0050222E" w:rsidRDefault="0050222E" w:rsidP="0050222E">
      <w:pPr>
        <w:ind w:leftChars="200" w:left="480" w:right="83" w:firstLineChars="100" w:firstLine="240"/>
      </w:pPr>
      <w:r w:rsidRPr="0050222E">
        <w:rPr>
          <w:rFonts w:hint="eastAsia"/>
        </w:rPr>
        <w:t xml:space="preserve">・　２段階目（※１）　</w:t>
      </w:r>
      <w:r w:rsidRPr="0050222E">
        <w:rPr>
          <w:rFonts w:hint="eastAsia"/>
        </w:rPr>
        <w:t>16</w:t>
      </w:r>
      <w:r w:rsidRPr="0050222E">
        <w:rPr>
          <w:rFonts w:hint="eastAsia"/>
        </w:rPr>
        <w:t>点</w:t>
      </w:r>
    </w:p>
    <w:p w:rsidR="0050222E" w:rsidRPr="0050222E" w:rsidRDefault="0050222E" w:rsidP="0050222E">
      <w:pPr>
        <w:ind w:leftChars="200" w:left="480" w:right="83" w:firstLineChars="100" w:firstLine="240"/>
      </w:pPr>
      <w:r w:rsidRPr="0050222E">
        <w:rPr>
          <w:rFonts w:hint="eastAsia"/>
        </w:rPr>
        <w:lastRenderedPageBreak/>
        <w:t xml:space="preserve">・　３段階目　</w:t>
      </w:r>
      <w:r w:rsidRPr="0050222E">
        <w:rPr>
          <w:rFonts w:hint="eastAsia"/>
        </w:rPr>
        <w:t>20</w:t>
      </w:r>
      <w:r w:rsidRPr="0050222E">
        <w:rPr>
          <w:rFonts w:hint="eastAsia"/>
        </w:rPr>
        <w:t>点</w:t>
      </w:r>
    </w:p>
    <w:p w:rsidR="0050222E" w:rsidRPr="0050222E" w:rsidRDefault="0050222E" w:rsidP="0050222E">
      <w:pPr>
        <w:ind w:leftChars="200" w:left="480" w:right="83" w:firstLineChars="100" w:firstLine="240"/>
      </w:pPr>
      <w:r w:rsidRPr="0050222E">
        <w:rPr>
          <w:rFonts w:hint="eastAsia"/>
        </w:rPr>
        <w:t>・　行動計画（※２）　４点</w:t>
      </w:r>
    </w:p>
    <w:p w:rsidR="0050222E" w:rsidRPr="0050222E" w:rsidRDefault="0050222E" w:rsidP="0050222E">
      <w:pPr>
        <w:ind w:leftChars="200" w:left="480" w:right="83" w:firstLineChars="200" w:firstLine="480"/>
      </w:pPr>
      <w:r w:rsidRPr="0050222E">
        <w:rPr>
          <w:rFonts w:hint="eastAsia"/>
        </w:rPr>
        <w:t>※１　労働時間等の働き方に係る基準は満たすこと。</w:t>
      </w:r>
    </w:p>
    <w:p w:rsidR="0050222E" w:rsidRPr="0050222E" w:rsidRDefault="0050222E" w:rsidP="0050222E">
      <w:pPr>
        <w:ind w:leftChars="400" w:left="1440" w:right="83" w:hangingChars="200" w:hanging="480"/>
      </w:pPr>
      <w:r w:rsidRPr="0050222E">
        <w:rPr>
          <w:rFonts w:hint="eastAsia"/>
        </w:rPr>
        <w:t>※２　女性活躍推進法に基づく一般事業主行動計画の策定義務がない事業主（常時雇用する労働者の数が３００人以下のもの）に限る（計画期間が満了していない行動計画を策定している場合のみ）。</w:t>
      </w:r>
    </w:p>
    <w:p w:rsidR="0050222E" w:rsidRPr="0050222E" w:rsidRDefault="0050222E" w:rsidP="0050222E">
      <w:pPr>
        <w:ind w:leftChars="200" w:left="720" w:right="83" w:hangingChars="100" w:hanging="240"/>
      </w:pPr>
      <w:r w:rsidRPr="0050222E">
        <w:rPr>
          <w:rFonts w:hint="eastAsia"/>
        </w:rPr>
        <w:t>○　次世代育成支援対策推進法（次世代法）に基づく認定（くるみん認定企業・プラチナくるみん認定企業）</w:t>
      </w:r>
    </w:p>
    <w:p w:rsidR="0050222E" w:rsidRPr="0050222E" w:rsidRDefault="0050222E" w:rsidP="0050222E">
      <w:pPr>
        <w:ind w:leftChars="200" w:left="480" w:right="83" w:firstLineChars="100" w:firstLine="240"/>
      </w:pPr>
      <w:r w:rsidRPr="0050222E">
        <w:rPr>
          <w:rFonts w:hint="eastAsia"/>
        </w:rPr>
        <w:t xml:space="preserve">・　旧くるみん　</w:t>
      </w:r>
      <w:r w:rsidRPr="0050222E">
        <w:rPr>
          <w:rFonts w:hint="eastAsia"/>
        </w:rPr>
        <w:t>10</w:t>
      </w:r>
      <w:r w:rsidRPr="0050222E">
        <w:rPr>
          <w:rFonts w:hint="eastAsia"/>
        </w:rPr>
        <w:t>点</w:t>
      </w:r>
    </w:p>
    <w:p w:rsidR="0050222E" w:rsidRPr="0050222E" w:rsidRDefault="0050222E" w:rsidP="0050222E">
      <w:pPr>
        <w:pStyle w:val="af5"/>
        <w:numPr>
          <w:ilvl w:val="0"/>
          <w:numId w:val="10"/>
        </w:numPr>
        <w:ind w:leftChars="0" w:right="83"/>
        <w:rPr>
          <w:sz w:val="24"/>
        </w:rPr>
      </w:pPr>
      <w:r w:rsidRPr="0050222E">
        <w:rPr>
          <w:rFonts w:hint="eastAsia"/>
          <w:sz w:val="24"/>
        </w:rPr>
        <w:t xml:space="preserve"> </w:t>
      </w:r>
      <w:r w:rsidRPr="0050222E">
        <w:rPr>
          <w:rFonts w:hint="eastAsia"/>
          <w:sz w:val="24"/>
        </w:rPr>
        <w:t xml:space="preserve">新くるみん　　</w:t>
      </w:r>
      <w:r w:rsidRPr="0050222E">
        <w:rPr>
          <w:rFonts w:hint="eastAsia"/>
          <w:sz w:val="24"/>
        </w:rPr>
        <w:t>14</w:t>
      </w:r>
      <w:r w:rsidRPr="0050222E">
        <w:rPr>
          <w:rFonts w:hint="eastAsia"/>
          <w:sz w:val="24"/>
        </w:rPr>
        <w:t>点</w:t>
      </w:r>
    </w:p>
    <w:p w:rsidR="0050222E" w:rsidRPr="0050222E" w:rsidRDefault="0050222E" w:rsidP="0050222E">
      <w:pPr>
        <w:ind w:leftChars="200" w:left="480" w:right="83" w:firstLineChars="100" w:firstLine="240"/>
      </w:pPr>
      <w:r w:rsidRPr="0050222E">
        <w:rPr>
          <w:rFonts w:hint="eastAsia"/>
        </w:rPr>
        <w:t xml:space="preserve">・　プラチナくるみん　</w:t>
      </w:r>
      <w:r w:rsidRPr="0050222E">
        <w:rPr>
          <w:rFonts w:hint="eastAsia"/>
        </w:rPr>
        <w:t>18</w:t>
      </w:r>
      <w:r w:rsidRPr="0050222E">
        <w:rPr>
          <w:rFonts w:hint="eastAsia"/>
        </w:rPr>
        <w:t>点</w:t>
      </w:r>
    </w:p>
    <w:p w:rsidR="0050222E" w:rsidRPr="0050222E" w:rsidRDefault="0050222E" w:rsidP="0050222E">
      <w:pPr>
        <w:ind w:right="83" w:firstLineChars="200" w:firstLine="480"/>
      </w:pPr>
      <w:r w:rsidRPr="0050222E">
        <w:rPr>
          <w:rFonts w:hint="eastAsia"/>
        </w:rPr>
        <w:t>○　青少年の雇用の促進等に関する法律（若者雇用促進法）に基づく認定</w:t>
      </w:r>
    </w:p>
    <w:p w:rsidR="005957FC" w:rsidRPr="00021A9E" w:rsidRDefault="0050222E" w:rsidP="00021A9E">
      <w:pPr>
        <w:ind w:leftChars="200" w:left="480" w:right="83" w:firstLineChars="100" w:firstLine="240"/>
      </w:pPr>
      <w:r w:rsidRPr="0050222E">
        <w:rPr>
          <w:rFonts w:hint="eastAsia"/>
        </w:rPr>
        <w:t xml:space="preserve">・　ユースエール認定　</w:t>
      </w:r>
      <w:r w:rsidRPr="0050222E">
        <w:rPr>
          <w:rFonts w:hint="eastAsia"/>
        </w:rPr>
        <w:t>18</w:t>
      </w:r>
      <w:r w:rsidRPr="0050222E">
        <w:rPr>
          <w:rFonts w:hint="eastAsia"/>
        </w:rPr>
        <w:t>点</w:t>
      </w:r>
    </w:p>
    <w:p w:rsidR="0050222E" w:rsidRDefault="0050222E" w:rsidP="00021A9E">
      <w:pPr>
        <w:pStyle w:val="a3"/>
        <w:overflowPunct/>
        <w:adjustRightInd/>
        <w:spacing w:line="400" w:lineRule="exact"/>
        <w:ind w:left="240" w:right="480" w:hanging="240"/>
        <w:jc w:val="right"/>
        <w:rPr>
          <w:rFonts w:asciiTheme="minorEastAsia" w:eastAsiaTheme="minorEastAsia" w:hAnsiTheme="minorEastAsia" w:cs="Times New Roman"/>
        </w:rPr>
      </w:pPr>
    </w:p>
    <w:sectPr w:rsidR="0050222E" w:rsidSect="00A664B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021" w:bottom="851" w:left="1021" w:header="567" w:footer="284" w:gutter="0"/>
      <w:pgNumType w:start="1"/>
      <w:cols w:space="720"/>
      <w:noEndnote/>
      <w:titlePg/>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17" w:rsidRDefault="00871317" w:rsidP="002427D3">
      <w:r>
        <w:separator/>
      </w:r>
    </w:p>
  </w:endnote>
  <w:endnote w:type="continuationSeparator" w:id="0">
    <w:p w:rsidR="00871317" w:rsidRDefault="00871317" w:rsidP="0024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7" w:rsidRDefault="006926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7" w:rsidRDefault="006926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7" w:rsidRDefault="006926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17" w:rsidRDefault="00871317">
      <w:r>
        <w:rPr>
          <w:rFonts w:ascii="ＭＳ 明朝" w:cs="Times New Roman"/>
          <w:color w:val="auto"/>
          <w:sz w:val="2"/>
          <w:szCs w:val="2"/>
        </w:rPr>
        <w:continuationSeparator/>
      </w:r>
    </w:p>
  </w:footnote>
  <w:footnote w:type="continuationSeparator" w:id="0">
    <w:p w:rsidR="00871317" w:rsidRDefault="00871317" w:rsidP="0024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7" w:rsidRDefault="006926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28" w:rsidRDefault="00395D28">
    <w:pPr>
      <w:pStyle w:val="a3"/>
      <w:wordWrap w:val="0"/>
      <w:adjustRightInd/>
      <w:spacing w:line="288" w:lineRule="exact"/>
      <w:jc w:val="right"/>
      <w:rPr>
        <w:rFonts w:ascii="ＭＳ 明朝" w:cs="Times New Roman"/>
      </w:rPr>
    </w:pPr>
    <w:r>
      <w:rPr>
        <w:rFonts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BE" w:rsidRPr="00A664BE" w:rsidRDefault="00A664BE" w:rsidP="00A664BE">
    <w:pPr>
      <w:pStyle w:val="a4"/>
      <w:jc w:val="center"/>
      <w:rPr>
        <w:rFonts w:ascii="ＭＳ ゴシック" w:eastAsia="ＭＳ ゴシック" w:hAnsi="ＭＳ ゴシック"/>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85C"/>
    <w:multiLevelType w:val="hybridMultilevel"/>
    <w:tmpl w:val="CD9C6D58"/>
    <w:lvl w:ilvl="0" w:tplc="D548BE3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3366CF"/>
    <w:multiLevelType w:val="hybridMultilevel"/>
    <w:tmpl w:val="29F4FFCE"/>
    <w:lvl w:ilvl="0" w:tplc="0E6EE7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546563B"/>
    <w:multiLevelType w:val="hybridMultilevel"/>
    <w:tmpl w:val="561CC832"/>
    <w:lvl w:ilvl="0" w:tplc="BD4A6B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D336AF"/>
    <w:multiLevelType w:val="hybridMultilevel"/>
    <w:tmpl w:val="1D302828"/>
    <w:lvl w:ilvl="0" w:tplc="FEA0DDB6">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78FD4500"/>
    <w:multiLevelType w:val="hybridMultilevel"/>
    <w:tmpl w:val="0F2C4FF6"/>
    <w:lvl w:ilvl="0" w:tplc="CEEE0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A166A11"/>
    <w:multiLevelType w:val="hybridMultilevel"/>
    <w:tmpl w:val="CDBE6AE0"/>
    <w:lvl w:ilvl="0" w:tplc="3D4E22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7"/>
  </w:num>
  <w:num w:numId="3">
    <w:abstractNumId w:val="1"/>
  </w:num>
  <w:num w:numId="4">
    <w:abstractNumId w:val="5"/>
  </w:num>
  <w:num w:numId="5">
    <w:abstractNumId w:val="4"/>
  </w:num>
  <w:num w:numId="6">
    <w:abstractNumId w:val="8"/>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20"/>
  <w:drawingGridVerticalSpacing w:val="335"/>
  <w:displayHorizontalDrawingGridEvery w:val="0"/>
  <w:doNotShadeFormData/>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94"/>
    <w:rsid w:val="00007C7F"/>
    <w:rsid w:val="000203AB"/>
    <w:rsid w:val="00021A9E"/>
    <w:rsid w:val="00024777"/>
    <w:rsid w:val="00082268"/>
    <w:rsid w:val="000A76E4"/>
    <w:rsid w:val="000C2872"/>
    <w:rsid w:val="000C3226"/>
    <w:rsid w:val="000D7747"/>
    <w:rsid w:val="00125380"/>
    <w:rsid w:val="00127D84"/>
    <w:rsid w:val="00143DD0"/>
    <w:rsid w:val="00160405"/>
    <w:rsid w:val="00160E15"/>
    <w:rsid w:val="0018235A"/>
    <w:rsid w:val="00186E19"/>
    <w:rsid w:val="00190EE7"/>
    <w:rsid w:val="00192615"/>
    <w:rsid w:val="001D3C91"/>
    <w:rsid w:val="00203164"/>
    <w:rsid w:val="00205FD5"/>
    <w:rsid w:val="00210592"/>
    <w:rsid w:val="00230628"/>
    <w:rsid w:val="002403D9"/>
    <w:rsid w:val="00240654"/>
    <w:rsid w:val="002427D3"/>
    <w:rsid w:val="00257E2C"/>
    <w:rsid w:val="00282675"/>
    <w:rsid w:val="00294F93"/>
    <w:rsid w:val="0029714D"/>
    <w:rsid w:val="002A44F6"/>
    <w:rsid w:val="0030475E"/>
    <w:rsid w:val="00325D94"/>
    <w:rsid w:val="00350C9D"/>
    <w:rsid w:val="003613C8"/>
    <w:rsid w:val="003772AB"/>
    <w:rsid w:val="00377F24"/>
    <w:rsid w:val="003801C1"/>
    <w:rsid w:val="00395D28"/>
    <w:rsid w:val="003B3000"/>
    <w:rsid w:val="003D752B"/>
    <w:rsid w:val="003F1D24"/>
    <w:rsid w:val="00434EB7"/>
    <w:rsid w:val="0046492B"/>
    <w:rsid w:val="00467C63"/>
    <w:rsid w:val="0048701F"/>
    <w:rsid w:val="004A6C8A"/>
    <w:rsid w:val="004F1C93"/>
    <w:rsid w:val="004F5BC6"/>
    <w:rsid w:val="0050222E"/>
    <w:rsid w:val="00504E8A"/>
    <w:rsid w:val="005238E8"/>
    <w:rsid w:val="00563620"/>
    <w:rsid w:val="00575CE6"/>
    <w:rsid w:val="00580E32"/>
    <w:rsid w:val="00591117"/>
    <w:rsid w:val="005957FC"/>
    <w:rsid w:val="005C379D"/>
    <w:rsid w:val="005D290E"/>
    <w:rsid w:val="005D5AFC"/>
    <w:rsid w:val="00601726"/>
    <w:rsid w:val="00641300"/>
    <w:rsid w:val="006619D3"/>
    <w:rsid w:val="00671FDA"/>
    <w:rsid w:val="00692607"/>
    <w:rsid w:val="00697B38"/>
    <w:rsid w:val="00697BD0"/>
    <w:rsid w:val="006A0884"/>
    <w:rsid w:val="006E5E79"/>
    <w:rsid w:val="006F2A78"/>
    <w:rsid w:val="00720F20"/>
    <w:rsid w:val="00730B42"/>
    <w:rsid w:val="007313BD"/>
    <w:rsid w:val="0075569F"/>
    <w:rsid w:val="0078167E"/>
    <w:rsid w:val="007837A0"/>
    <w:rsid w:val="00787BAF"/>
    <w:rsid w:val="007A739D"/>
    <w:rsid w:val="007B2B1B"/>
    <w:rsid w:val="007D38EA"/>
    <w:rsid w:val="007F1192"/>
    <w:rsid w:val="008171AF"/>
    <w:rsid w:val="00842D8F"/>
    <w:rsid w:val="00847212"/>
    <w:rsid w:val="00871317"/>
    <w:rsid w:val="008736AB"/>
    <w:rsid w:val="00881AE8"/>
    <w:rsid w:val="008B5A18"/>
    <w:rsid w:val="008C149B"/>
    <w:rsid w:val="008C3728"/>
    <w:rsid w:val="008E2A4F"/>
    <w:rsid w:val="008E72FF"/>
    <w:rsid w:val="008F6259"/>
    <w:rsid w:val="00915B48"/>
    <w:rsid w:val="00916DF2"/>
    <w:rsid w:val="009253BC"/>
    <w:rsid w:val="00967053"/>
    <w:rsid w:val="00993C38"/>
    <w:rsid w:val="009978D5"/>
    <w:rsid w:val="009D38EC"/>
    <w:rsid w:val="009E1CCE"/>
    <w:rsid w:val="009E3F52"/>
    <w:rsid w:val="009F6015"/>
    <w:rsid w:val="009F7FF0"/>
    <w:rsid w:val="00A01F68"/>
    <w:rsid w:val="00A152C1"/>
    <w:rsid w:val="00A40935"/>
    <w:rsid w:val="00A50059"/>
    <w:rsid w:val="00A619C1"/>
    <w:rsid w:val="00A63BF4"/>
    <w:rsid w:val="00A63E85"/>
    <w:rsid w:val="00A664BE"/>
    <w:rsid w:val="00AC0DFB"/>
    <w:rsid w:val="00AD5AB6"/>
    <w:rsid w:val="00AF6517"/>
    <w:rsid w:val="00B30AC8"/>
    <w:rsid w:val="00B54716"/>
    <w:rsid w:val="00B80506"/>
    <w:rsid w:val="00BA4863"/>
    <w:rsid w:val="00BB66CF"/>
    <w:rsid w:val="00BE3BFB"/>
    <w:rsid w:val="00BF67F4"/>
    <w:rsid w:val="00C423D3"/>
    <w:rsid w:val="00C53517"/>
    <w:rsid w:val="00C6232C"/>
    <w:rsid w:val="00C67458"/>
    <w:rsid w:val="00C95839"/>
    <w:rsid w:val="00CA6BF6"/>
    <w:rsid w:val="00CB1E5A"/>
    <w:rsid w:val="00CC48CE"/>
    <w:rsid w:val="00CE7CEE"/>
    <w:rsid w:val="00D11AD2"/>
    <w:rsid w:val="00D34083"/>
    <w:rsid w:val="00D57638"/>
    <w:rsid w:val="00D81980"/>
    <w:rsid w:val="00D81A20"/>
    <w:rsid w:val="00D9041F"/>
    <w:rsid w:val="00DE36A2"/>
    <w:rsid w:val="00E14DFD"/>
    <w:rsid w:val="00E21E56"/>
    <w:rsid w:val="00E31619"/>
    <w:rsid w:val="00E73102"/>
    <w:rsid w:val="00E752E3"/>
    <w:rsid w:val="00E8237E"/>
    <w:rsid w:val="00E905AA"/>
    <w:rsid w:val="00EC786E"/>
    <w:rsid w:val="00ED5073"/>
    <w:rsid w:val="00F222D8"/>
    <w:rsid w:val="00F32376"/>
    <w:rsid w:val="00F32AC1"/>
    <w:rsid w:val="00F6497B"/>
    <w:rsid w:val="00F84C68"/>
    <w:rsid w:val="00FA205B"/>
    <w:rsid w:val="00FA5605"/>
    <w:rsid w:val="00FF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26"/>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1726"/>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AC0DFB"/>
    <w:pPr>
      <w:tabs>
        <w:tab w:val="center" w:pos="4252"/>
        <w:tab w:val="right" w:pos="8504"/>
      </w:tabs>
      <w:snapToGrid w:val="0"/>
    </w:pPr>
  </w:style>
  <w:style w:type="character" w:customStyle="1" w:styleId="a5">
    <w:name w:val="ヘッダー (文字)"/>
    <w:basedOn w:val="a0"/>
    <w:link w:val="a4"/>
    <w:uiPriority w:val="99"/>
    <w:rsid w:val="00AC0DFB"/>
    <w:rPr>
      <w:rFonts w:cs="ＭＳ 明朝"/>
      <w:color w:val="000000"/>
      <w:kern w:val="0"/>
      <w:sz w:val="24"/>
      <w:szCs w:val="24"/>
    </w:rPr>
  </w:style>
  <w:style w:type="paragraph" w:styleId="a6">
    <w:name w:val="footer"/>
    <w:basedOn w:val="a"/>
    <w:link w:val="a7"/>
    <w:uiPriority w:val="99"/>
    <w:unhideWhenUsed/>
    <w:rsid w:val="00AC0DFB"/>
    <w:pPr>
      <w:tabs>
        <w:tab w:val="center" w:pos="4252"/>
        <w:tab w:val="right" w:pos="8504"/>
      </w:tabs>
      <w:snapToGrid w:val="0"/>
    </w:pPr>
  </w:style>
  <w:style w:type="character" w:customStyle="1" w:styleId="a7">
    <w:name w:val="フッター (文字)"/>
    <w:basedOn w:val="a0"/>
    <w:link w:val="a6"/>
    <w:uiPriority w:val="99"/>
    <w:rsid w:val="00AC0DFB"/>
    <w:rPr>
      <w:rFonts w:cs="ＭＳ 明朝"/>
      <w:color w:val="000000"/>
      <w:kern w:val="0"/>
      <w:sz w:val="24"/>
      <w:szCs w:val="24"/>
    </w:rPr>
  </w:style>
  <w:style w:type="paragraph" w:styleId="a8">
    <w:name w:val="Balloon Text"/>
    <w:basedOn w:val="a"/>
    <w:link w:val="a9"/>
    <w:uiPriority w:val="99"/>
    <w:semiHidden/>
    <w:unhideWhenUsed/>
    <w:rsid w:val="007D3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A"/>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186E19"/>
    <w:pPr>
      <w:suppressAutoHyphens w:val="0"/>
      <w:kinsoku/>
      <w:wordWrap/>
      <w:overflowPunct/>
      <w:autoSpaceDE/>
      <w:autoSpaceDN/>
      <w:adjustRightInd/>
      <w:jc w:val="center"/>
      <w:textAlignment w:val="auto"/>
    </w:pPr>
    <w:rPr>
      <w:rFonts w:ascii="ＭＳ ゴシック" w:eastAsia="ＭＳ ゴシック" w:hAnsi="Century" w:cs="Times New Roman"/>
      <w:color w:val="auto"/>
      <w:kern w:val="2"/>
      <w:sz w:val="21"/>
    </w:rPr>
  </w:style>
  <w:style w:type="character" w:customStyle="1" w:styleId="ab">
    <w:name w:val="記 (文字)"/>
    <w:basedOn w:val="a0"/>
    <w:link w:val="aa"/>
    <w:uiPriority w:val="99"/>
    <w:rsid w:val="00186E19"/>
    <w:rPr>
      <w:rFonts w:ascii="ＭＳ ゴシック" w:eastAsia="ＭＳ ゴシック" w:hAnsi="Century"/>
      <w:szCs w:val="24"/>
    </w:rPr>
  </w:style>
  <w:style w:type="paragraph" w:styleId="ac">
    <w:name w:val="Closing"/>
    <w:basedOn w:val="a"/>
    <w:link w:val="ad"/>
    <w:uiPriority w:val="99"/>
    <w:unhideWhenUsed/>
    <w:rsid w:val="00186E19"/>
    <w:pPr>
      <w:suppressAutoHyphens w:val="0"/>
      <w:kinsoku/>
      <w:wordWrap/>
      <w:overflowPunct/>
      <w:autoSpaceDE/>
      <w:autoSpaceDN/>
      <w:adjustRightInd/>
      <w:jc w:val="right"/>
      <w:textAlignment w:val="auto"/>
    </w:pPr>
    <w:rPr>
      <w:rFonts w:ascii="ＭＳ ゴシック" w:eastAsia="ＭＳ ゴシック" w:hAnsi="Century" w:cs="Times New Roman"/>
      <w:color w:val="auto"/>
      <w:kern w:val="2"/>
      <w:sz w:val="21"/>
    </w:rPr>
  </w:style>
  <w:style w:type="character" w:customStyle="1" w:styleId="ad">
    <w:name w:val="結語 (文字)"/>
    <w:basedOn w:val="a0"/>
    <w:link w:val="ac"/>
    <w:uiPriority w:val="99"/>
    <w:rsid w:val="00186E19"/>
    <w:rPr>
      <w:rFonts w:ascii="ＭＳ ゴシック" w:eastAsia="ＭＳ ゴシック" w:hAnsi="Century"/>
      <w:szCs w:val="24"/>
    </w:rPr>
  </w:style>
  <w:style w:type="table" w:styleId="ae">
    <w:name w:val="Table Grid"/>
    <w:basedOn w:val="a1"/>
    <w:uiPriority w:val="59"/>
    <w:rsid w:val="00186E1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186E19"/>
    <w:rPr>
      <w:rFonts w:cs="Times New Roman"/>
      <w:b/>
      <w:bCs/>
    </w:rPr>
  </w:style>
  <w:style w:type="paragraph" w:customStyle="1" w:styleId="Default">
    <w:name w:val="Default"/>
    <w:uiPriority w:val="99"/>
    <w:rsid w:val="00186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0">
    <w:name w:val="Date"/>
    <w:basedOn w:val="a"/>
    <w:next w:val="a"/>
    <w:link w:val="af1"/>
    <w:uiPriority w:val="99"/>
    <w:rsid w:val="00186E19"/>
    <w:pPr>
      <w:suppressAutoHyphens w:val="0"/>
      <w:kinsoku/>
      <w:wordWrap/>
      <w:overflowPunct/>
      <w:autoSpaceDE/>
      <w:autoSpaceDN/>
      <w:adjustRightInd/>
      <w:jc w:val="both"/>
      <w:textAlignment w:val="auto"/>
    </w:pPr>
    <w:rPr>
      <w:rFonts w:ascii="Century" w:hAnsi="Century" w:cs="Times New Roman"/>
      <w:color w:val="auto"/>
      <w:kern w:val="2"/>
      <w:sz w:val="21"/>
    </w:rPr>
  </w:style>
  <w:style w:type="character" w:customStyle="1" w:styleId="af1">
    <w:name w:val="日付 (文字)"/>
    <w:basedOn w:val="a0"/>
    <w:link w:val="af0"/>
    <w:uiPriority w:val="99"/>
    <w:rsid w:val="00186E19"/>
    <w:rPr>
      <w:rFonts w:ascii="Century" w:hAnsi="Century"/>
      <w:szCs w:val="24"/>
    </w:rPr>
  </w:style>
  <w:style w:type="character" w:styleId="af2">
    <w:name w:val="Hyperlink"/>
    <w:uiPriority w:val="99"/>
    <w:rsid w:val="00186E19"/>
    <w:rPr>
      <w:rFonts w:cs="Times New Roman"/>
      <w:color w:val="0000FF"/>
      <w:u w:val="single"/>
    </w:rPr>
  </w:style>
  <w:style w:type="paragraph" w:styleId="af3">
    <w:name w:val="Plain Text"/>
    <w:basedOn w:val="a"/>
    <w:link w:val="af4"/>
    <w:uiPriority w:val="99"/>
    <w:rsid w:val="00186E19"/>
    <w:pPr>
      <w:suppressAutoHyphens w:val="0"/>
      <w:kinsoku/>
      <w:wordWrap/>
      <w:overflowPunct/>
      <w:autoSpaceDE/>
      <w:autoSpaceDN/>
      <w:adjustRightInd/>
      <w:jc w:val="both"/>
      <w:textAlignment w:val="auto"/>
    </w:pPr>
    <w:rPr>
      <w:rFonts w:ascii="ＭＳ 明朝" w:hAnsi="Courier New" w:cs="Courier New"/>
      <w:color w:val="auto"/>
      <w:kern w:val="2"/>
      <w:sz w:val="22"/>
      <w:szCs w:val="21"/>
    </w:rPr>
  </w:style>
  <w:style w:type="character" w:customStyle="1" w:styleId="af4">
    <w:name w:val="書式なし (文字)"/>
    <w:basedOn w:val="a0"/>
    <w:link w:val="af3"/>
    <w:uiPriority w:val="99"/>
    <w:rsid w:val="00186E19"/>
    <w:rPr>
      <w:rFonts w:ascii="ＭＳ 明朝" w:hAnsi="Courier New" w:cs="Courier New"/>
      <w:sz w:val="22"/>
      <w:szCs w:val="21"/>
    </w:rPr>
  </w:style>
  <w:style w:type="paragraph" w:styleId="af5">
    <w:name w:val="List Paragraph"/>
    <w:basedOn w:val="a"/>
    <w:uiPriority w:val="34"/>
    <w:qFormat/>
    <w:rsid w:val="00186E19"/>
    <w:pPr>
      <w:suppressAutoHyphens w:val="0"/>
      <w:kinsoku/>
      <w:wordWrap/>
      <w:overflowPunct/>
      <w:autoSpaceDE/>
      <w:autoSpaceDN/>
      <w:adjustRightInd/>
      <w:ind w:leftChars="400" w:left="840"/>
      <w:jc w:val="both"/>
      <w:textAlignment w:val="auto"/>
    </w:pPr>
    <w:rPr>
      <w:rFonts w:ascii="Century" w:hAnsi="Century" w:cs="Times New Roman"/>
      <w:color w:val="auto"/>
      <w:kern w:val="2"/>
      <w:sz w:val="21"/>
    </w:rPr>
  </w:style>
  <w:style w:type="paragraph" w:customStyle="1" w:styleId="af6">
    <w:name w:val="一太郎"/>
    <w:rsid w:val="00186E19"/>
    <w:pPr>
      <w:widowControl w:val="0"/>
      <w:wordWrap w:val="0"/>
      <w:autoSpaceDE w:val="0"/>
      <w:autoSpaceDN w:val="0"/>
      <w:adjustRightInd w:val="0"/>
      <w:spacing w:line="361" w:lineRule="exact"/>
      <w:jc w:val="both"/>
    </w:pPr>
    <w:rPr>
      <w:rFonts w:ascii="Century" w:hAnsi="Century" w:cs="ＭＳ 明朝"/>
      <w:spacing w:val="14"/>
      <w:kern w:val="0"/>
      <w:szCs w:val="21"/>
    </w:rPr>
  </w:style>
  <w:style w:type="paragraph" w:styleId="HTML">
    <w:name w:val="HTML Preformatted"/>
    <w:basedOn w:val="a"/>
    <w:link w:val="HTML0"/>
    <w:uiPriority w:val="99"/>
    <w:unhideWhenUsed/>
    <w:rsid w:val="00A63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rsid w:val="00A63E85"/>
    <w:rPr>
      <w:rFonts w:ascii="ＭＳ ゴシック" w:eastAsia="ＭＳ ゴシック" w:hAnsi="ＭＳ ゴシック" w:cs="ＭＳ ゴシック"/>
      <w:kern w:val="0"/>
      <w:sz w:val="24"/>
      <w:szCs w:val="24"/>
    </w:rPr>
  </w:style>
  <w:style w:type="character" w:styleId="af7">
    <w:name w:val="annotation reference"/>
    <w:basedOn w:val="a0"/>
    <w:uiPriority w:val="99"/>
    <w:semiHidden/>
    <w:unhideWhenUsed/>
    <w:rsid w:val="00C423D3"/>
    <w:rPr>
      <w:sz w:val="18"/>
      <w:szCs w:val="18"/>
    </w:rPr>
  </w:style>
  <w:style w:type="paragraph" w:styleId="af8">
    <w:name w:val="annotation text"/>
    <w:basedOn w:val="a"/>
    <w:link w:val="af9"/>
    <w:uiPriority w:val="99"/>
    <w:semiHidden/>
    <w:unhideWhenUsed/>
    <w:rsid w:val="00C423D3"/>
  </w:style>
  <w:style w:type="character" w:customStyle="1" w:styleId="af9">
    <w:name w:val="コメント文字列 (文字)"/>
    <w:basedOn w:val="a0"/>
    <w:link w:val="af8"/>
    <w:uiPriority w:val="99"/>
    <w:semiHidden/>
    <w:rsid w:val="00C423D3"/>
    <w:rPr>
      <w:rFonts w:cs="ＭＳ 明朝"/>
      <w:color w:val="000000"/>
      <w:kern w:val="0"/>
      <w:sz w:val="24"/>
      <w:szCs w:val="24"/>
    </w:rPr>
  </w:style>
  <w:style w:type="paragraph" w:styleId="afa">
    <w:name w:val="annotation subject"/>
    <w:basedOn w:val="af8"/>
    <w:next w:val="af8"/>
    <w:link w:val="afb"/>
    <w:uiPriority w:val="99"/>
    <w:semiHidden/>
    <w:unhideWhenUsed/>
    <w:rsid w:val="00C423D3"/>
    <w:rPr>
      <w:b/>
      <w:bCs/>
    </w:rPr>
  </w:style>
  <w:style w:type="character" w:customStyle="1" w:styleId="afb">
    <w:name w:val="コメント内容 (文字)"/>
    <w:basedOn w:val="af9"/>
    <w:link w:val="afa"/>
    <w:uiPriority w:val="99"/>
    <w:semiHidden/>
    <w:rsid w:val="00C423D3"/>
    <w:rPr>
      <w:rFonts w:cs="ＭＳ 明朝"/>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26"/>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1726"/>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AC0DFB"/>
    <w:pPr>
      <w:tabs>
        <w:tab w:val="center" w:pos="4252"/>
        <w:tab w:val="right" w:pos="8504"/>
      </w:tabs>
      <w:snapToGrid w:val="0"/>
    </w:pPr>
  </w:style>
  <w:style w:type="character" w:customStyle="1" w:styleId="a5">
    <w:name w:val="ヘッダー (文字)"/>
    <w:basedOn w:val="a0"/>
    <w:link w:val="a4"/>
    <w:uiPriority w:val="99"/>
    <w:rsid w:val="00AC0DFB"/>
    <w:rPr>
      <w:rFonts w:cs="ＭＳ 明朝"/>
      <w:color w:val="000000"/>
      <w:kern w:val="0"/>
      <w:sz w:val="24"/>
      <w:szCs w:val="24"/>
    </w:rPr>
  </w:style>
  <w:style w:type="paragraph" w:styleId="a6">
    <w:name w:val="footer"/>
    <w:basedOn w:val="a"/>
    <w:link w:val="a7"/>
    <w:uiPriority w:val="99"/>
    <w:unhideWhenUsed/>
    <w:rsid w:val="00AC0DFB"/>
    <w:pPr>
      <w:tabs>
        <w:tab w:val="center" w:pos="4252"/>
        <w:tab w:val="right" w:pos="8504"/>
      </w:tabs>
      <w:snapToGrid w:val="0"/>
    </w:pPr>
  </w:style>
  <w:style w:type="character" w:customStyle="1" w:styleId="a7">
    <w:name w:val="フッター (文字)"/>
    <w:basedOn w:val="a0"/>
    <w:link w:val="a6"/>
    <w:uiPriority w:val="99"/>
    <w:rsid w:val="00AC0DFB"/>
    <w:rPr>
      <w:rFonts w:cs="ＭＳ 明朝"/>
      <w:color w:val="000000"/>
      <w:kern w:val="0"/>
      <w:sz w:val="24"/>
      <w:szCs w:val="24"/>
    </w:rPr>
  </w:style>
  <w:style w:type="paragraph" w:styleId="a8">
    <w:name w:val="Balloon Text"/>
    <w:basedOn w:val="a"/>
    <w:link w:val="a9"/>
    <w:uiPriority w:val="99"/>
    <w:semiHidden/>
    <w:unhideWhenUsed/>
    <w:rsid w:val="007D3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A"/>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186E19"/>
    <w:pPr>
      <w:suppressAutoHyphens w:val="0"/>
      <w:kinsoku/>
      <w:wordWrap/>
      <w:overflowPunct/>
      <w:autoSpaceDE/>
      <w:autoSpaceDN/>
      <w:adjustRightInd/>
      <w:jc w:val="center"/>
      <w:textAlignment w:val="auto"/>
    </w:pPr>
    <w:rPr>
      <w:rFonts w:ascii="ＭＳ ゴシック" w:eastAsia="ＭＳ ゴシック" w:hAnsi="Century" w:cs="Times New Roman"/>
      <w:color w:val="auto"/>
      <w:kern w:val="2"/>
      <w:sz w:val="21"/>
    </w:rPr>
  </w:style>
  <w:style w:type="character" w:customStyle="1" w:styleId="ab">
    <w:name w:val="記 (文字)"/>
    <w:basedOn w:val="a0"/>
    <w:link w:val="aa"/>
    <w:uiPriority w:val="99"/>
    <w:rsid w:val="00186E19"/>
    <w:rPr>
      <w:rFonts w:ascii="ＭＳ ゴシック" w:eastAsia="ＭＳ ゴシック" w:hAnsi="Century"/>
      <w:szCs w:val="24"/>
    </w:rPr>
  </w:style>
  <w:style w:type="paragraph" w:styleId="ac">
    <w:name w:val="Closing"/>
    <w:basedOn w:val="a"/>
    <w:link w:val="ad"/>
    <w:uiPriority w:val="99"/>
    <w:unhideWhenUsed/>
    <w:rsid w:val="00186E19"/>
    <w:pPr>
      <w:suppressAutoHyphens w:val="0"/>
      <w:kinsoku/>
      <w:wordWrap/>
      <w:overflowPunct/>
      <w:autoSpaceDE/>
      <w:autoSpaceDN/>
      <w:adjustRightInd/>
      <w:jc w:val="right"/>
      <w:textAlignment w:val="auto"/>
    </w:pPr>
    <w:rPr>
      <w:rFonts w:ascii="ＭＳ ゴシック" w:eastAsia="ＭＳ ゴシック" w:hAnsi="Century" w:cs="Times New Roman"/>
      <w:color w:val="auto"/>
      <w:kern w:val="2"/>
      <w:sz w:val="21"/>
    </w:rPr>
  </w:style>
  <w:style w:type="character" w:customStyle="1" w:styleId="ad">
    <w:name w:val="結語 (文字)"/>
    <w:basedOn w:val="a0"/>
    <w:link w:val="ac"/>
    <w:uiPriority w:val="99"/>
    <w:rsid w:val="00186E19"/>
    <w:rPr>
      <w:rFonts w:ascii="ＭＳ ゴシック" w:eastAsia="ＭＳ ゴシック" w:hAnsi="Century"/>
      <w:szCs w:val="24"/>
    </w:rPr>
  </w:style>
  <w:style w:type="table" w:styleId="ae">
    <w:name w:val="Table Grid"/>
    <w:basedOn w:val="a1"/>
    <w:uiPriority w:val="59"/>
    <w:rsid w:val="00186E1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186E19"/>
    <w:rPr>
      <w:rFonts w:cs="Times New Roman"/>
      <w:b/>
      <w:bCs/>
    </w:rPr>
  </w:style>
  <w:style w:type="paragraph" w:customStyle="1" w:styleId="Default">
    <w:name w:val="Default"/>
    <w:uiPriority w:val="99"/>
    <w:rsid w:val="00186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0">
    <w:name w:val="Date"/>
    <w:basedOn w:val="a"/>
    <w:next w:val="a"/>
    <w:link w:val="af1"/>
    <w:uiPriority w:val="99"/>
    <w:rsid w:val="00186E19"/>
    <w:pPr>
      <w:suppressAutoHyphens w:val="0"/>
      <w:kinsoku/>
      <w:wordWrap/>
      <w:overflowPunct/>
      <w:autoSpaceDE/>
      <w:autoSpaceDN/>
      <w:adjustRightInd/>
      <w:jc w:val="both"/>
      <w:textAlignment w:val="auto"/>
    </w:pPr>
    <w:rPr>
      <w:rFonts w:ascii="Century" w:hAnsi="Century" w:cs="Times New Roman"/>
      <w:color w:val="auto"/>
      <w:kern w:val="2"/>
      <w:sz w:val="21"/>
    </w:rPr>
  </w:style>
  <w:style w:type="character" w:customStyle="1" w:styleId="af1">
    <w:name w:val="日付 (文字)"/>
    <w:basedOn w:val="a0"/>
    <w:link w:val="af0"/>
    <w:uiPriority w:val="99"/>
    <w:rsid w:val="00186E19"/>
    <w:rPr>
      <w:rFonts w:ascii="Century" w:hAnsi="Century"/>
      <w:szCs w:val="24"/>
    </w:rPr>
  </w:style>
  <w:style w:type="character" w:styleId="af2">
    <w:name w:val="Hyperlink"/>
    <w:uiPriority w:val="99"/>
    <w:rsid w:val="00186E19"/>
    <w:rPr>
      <w:rFonts w:cs="Times New Roman"/>
      <w:color w:val="0000FF"/>
      <w:u w:val="single"/>
    </w:rPr>
  </w:style>
  <w:style w:type="paragraph" w:styleId="af3">
    <w:name w:val="Plain Text"/>
    <w:basedOn w:val="a"/>
    <w:link w:val="af4"/>
    <w:uiPriority w:val="99"/>
    <w:rsid w:val="00186E19"/>
    <w:pPr>
      <w:suppressAutoHyphens w:val="0"/>
      <w:kinsoku/>
      <w:wordWrap/>
      <w:overflowPunct/>
      <w:autoSpaceDE/>
      <w:autoSpaceDN/>
      <w:adjustRightInd/>
      <w:jc w:val="both"/>
      <w:textAlignment w:val="auto"/>
    </w:pPr>
    <w:rPr>
      <w:rFonts w:ascii="ＭＳ 明朝" w:hAnsi="Courier New" w:cs="Courier New"/>
      <w:color w:val="auto"/>
      <w:kern w:val="2"/>
      <w:sz w:val="22"/>
      <w:szCs w:val="21"/>
    </w:rPr>
  </w:style>
  <w:style w:type="character" w:customStyle="1" w:styleId="af4">
    <w:name w:val="書式なし (文字)"/>
    <w:basedOn w:val="a0"/>
    <w:link w:val="af3"/>
    <w:uiPriority w:val="99"/>
    <w:rsid w:val="00186E19"/>
    <w:rPr>
      <w:rFonts w:ascii="ＭＳ 明朝" w:hAnsi="Courier New" w:cs="Courier New"/>
      <w:sz w:val="22"/>
      <w:szCs w:val="21"/>
    </w:rPr>
  </w:style>
  <w:style w:type="paragraph" w:styleId="af5">
    <w:name w:val="List Paragraph"/>
    <w:basedOn w:val="a"/>
    <w:uiPriority w:val="34"/>
    <w:qFormat/>
    <w:rsid w:val="00186E19"/>
    <w:pPr>
      <w:suppressAutoHyphens w:val="0"/>
      <w:kinsoku/>
      <w:wordWrap/>
      <w:overflowPunct/>
      <w:autoSpaceDE/>
      <w:autoSpaceDN/>
      <w:adjustRightInd/>
      <w:ind w:leftChars="400" w:left="840"/>
      <w:jc w:val="both"/>
      <w:textAlignment w:val="auto"/>
    </w:pPr>
    <w:rPr>
      <w:rFonts w:ascii="Century" w:hAnsi="Century" w:cs="Times New Roman"/>
      <w:color w:val="auto"/>
      <w:kern w:val="2"/>
      <w:sz w:val="21"/>
    </w:rPr>
  </w:style>
  <w:style w:type="paragraph" w:customStyle="1" w:styleId="af6">
    <w:name w:val="一太郎"/>
    <w:rsid w:val="00186E19"/>
    <w:pPr>
      <w:widowControl w:val="0"/>
      <w:wordWrap w:val="0"/>
      <w:autoSpaceDE w:val="0"/>
      <w:autoSpaceDN w:val="0"/>
      <w:adjustRightInd w:val="0"/>
      <w:spacing w:line="361" w:lineRule="exact"/>
      <w:jc w:val="both"/>
    </w:pPr>
    <w:rPr>
      <w:rFonts w:ascii="Century" w:hAnsi="Century" w:cs="ＭＳ 明朝"/>
      <w:spacing w:val="14"/>
      <w:kern w:val="0"/>
      <w:szCs w:val="21"/>
    </w:rPr>
  </w:style>
  <w:style w:type="paragraph" w:styleId="HTML">
    <w:name w:val="HTML Preformatted"/>
    <w:basedOn w:val="a"/>
    <w:link w:val="HTML0"/>
    <w:uiPriority w:val="99"/>
    <w:unhideWhenUsed/>
    <w:rsid w:val="00A63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rsid w:val="00A63E85"/>
    <w:rPr>
      <w:rFonts w:ascii="ＭＳ ゴシック" w:eastAsia="ＭＳ ゴシック" w:hAnsi="ＭＳ ゴシック" w:cs="ＭＳ ゴシック"/>
      <w:kern w:val="0"/>
      <w:sz w:val="24"/>
      <w:szCs w:val="24"/>
    </w:rPr>
  </w:style>
  <w:style w:type="character" w:styleId="af7">
    <w:name w:val="annotation reference"/>
    <w:basedOn w:val="a0"/>
    <w:uiPriority w:val="99"/>
    <w:semiHidden/>
    <w:unhideWhenUsed/>
    <w:rsid w:val="00C423D3"/>
    <w:rPr>
      <w:sz w:val="18"/>
      <w:szCs w:val="18"/>
    </w:rPr>
  </w:style>
  <w:style w:type="paragraph" w:styleId="af8">
    <w:name w:val="annotation text"/>
    <w:basedOn w:val="a"/>
    <w:link w:val="af9"/>
    <w:uiPriority w:val="99"/>
    <w:semiHidden/>
    <w:unhideWhenUsed/>
    <w:rsid w:val="00C423D3"/>
  </w:style>
  <w:style w:type="character" w:customStyle="1" w:styleId="af9">
    <w:name w:val="コメント文字列 (文字)"/>
    <w:basedOn w:val="a0"/>
    <w:link w:val="af8"/>
    <w:uiPriority w:val="99"/>
    <w:semiHidden/>
    <w:rsid w:val="00C423D3"/>
    <w:rPr>
      <w:rFonts w:cs="ＭＳ 明朝"/>
      <w:color w:val="000000"/>
      <w:kern w:val="0"/>
      <w:sz w:val="24"/>
      <w:szCs w:val="24"/>
    </w:rPr>
  </w:style>
  <w:style w:type="paragraph" w:styleId="afa">
    <w:name w:val="annotation subject"/>
    <w:basedOn w:val="af8"/>
    <w:next w:val="af8"/>
    <w:link w:val="afb"/>
    <w:uiPriority w:val="99"/>
    <w:semiHidden/>
    <w:unhideWhenUsed/>
    <w:rsid w:val="00C423D3"/>
    <w:rPr>
      <w:b/>
      <w:bCs/>
    </w:rPr>
  </w:style>
  <w:style w:type="character" w:customStyle="1" w:styleId="afb">
    <w:name w:val="コメント内容 (文字)"/>
    <w:basedOn w:val="af9"/>
    <w:link w:val="afa"/>
    <w:uiPriority w:val="99"/>
    <w:semiHidden/>
    <w:rsid w:val="00C423D3"/>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A290-B745-4565-96DB-B357FFEA9869}">
  <ds:schemaRefs>
    <ds:schemaRef ds:uri="http://schemas.microsoft.com/office/2006/metadata/properties"/>
  </ds:schemaRefs>
</ds:datastoreItem>
</file>

<file path=customXml/itemProps2.xml><?xml version="1.0" encoding="utf-8"?>
<ds:datastoreItem xmlns:ds="http://schemas.openxmlformats.org/officeDocument/2006/customXml" ds:itemID="{91F4429A-3542-478D-A2C7-DD7739D70CF9}">
  <ds:schemaRefs>
    <ds:schemaRef ds:uri="http://schemas.microsoft.com/sharepoint/v3/contenttype/forms"/>
  </ds:schemaRefs>
</ds:datastoreItem>
</file>

<file path=customXml/itemProps3.xml><?xml version="1.0" encoding="utf-8"?>
<ds:datastoreItem xmlns:ds="http://schemas.openxmlformats.org/officeDocument/2006/customXml" ds:itemID="{9D6822B1-891A-4343-952F-0432DF09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1F652C-FDC0-4C08-B2DC-63CD1DB6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5</cp:revision>
  <cp:lastPrinted>2018-01-11T05:59:00Z</cp:lastPrinted>
  <dcterms:created xsi:type="dcterms:W3CDTF">2018-01-19T03:50:00Z</dcterms:created>
  <dcterms:modified xsi:type="dcterms:W3CDTF">2018-02-07T08:52:00Z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