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3B5E9294-24AE-47A6-BD2F-DDDE6E2134C9}"/>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