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57D4E8E2-D53C-4EA1-9F05-EFC510C716FF}"/>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