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755" w:rsidRPr="00F11E7F" w:rsidRDefault="009B4755" w:rsidP="00A3396F">
      <w:pPr>
        <w:jc w:val="right"/>
        <w:rPr>
          <w:rFonts w:asciiTheme="majorEastAsia" w:eastAsiaTheme="majorEastAsia" w:hAnsiTheme="majorEastAsia"/>
          <w:szCs w:val="24"/>
        </w:rPr>
      </w:pPr>
      <w:bookmarkStart w:id="0" w:name="_GoBack"/>
      <w:bookmarkEnd w:id="0"/>
      <w:r w:rsidRPr="00F11E7F">
        <w:rPr>
          <w:rFonts w:asciiTheme="majorEastAsia" w:eastAsiaTheme="majorEastAsia" w:hAnsiTheme="majorEastAsia" w:hint="eastAsia"/>
          <w:szCs w:val="24"/>
        </w:rPr>
        <w:t>荷役５大災害防止対策チェックリスト</w:t>
      </w:r>
      <w:r w:rsidR="00A3396F">
        <w:rPr>
          <w:rFonts w:asciiTheme="majorEastAsia" w:eastAsiaTheme="majorEastAsia" w:hAnsiTheme="majorEastAsia" w:hint="eastAsia"/>
          <w:szCs w:val="24"/>
        </w:rPr>
        <w:t xml:space="preserve">　　　　　　　　　　　　　　　　　　　別紙２</w:t>
      </w:r>
    </w:p>
    <w:p w:rsidR="009B4755" w:rsidRDefault="009B4755" w:rsidP="009B4755">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rsidR="009B4755" w:rsidRPr="00FD0B2E" w:rsidRDefault="009B4755" w:rsidP="009B4755">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F140EE">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4"/>
        <w:gridCol w:w="1126"/>
        <w:gridCol w:w="5744"/>
        <w:gridCol w:w="1129"/>
        <w:gridCol w:w="6022"/>
      </w:tblGrid>
      <w:tr w:rsidR="009B4755" w:rsidRPr="003F026A" w:rsidTr="00442776">
        <w:trPr>
          <w:trHeight w:val="360"/>
        </w:trPr>
        <w:tc>
          <w:tcPr>
            <w:tcW w:w="1222" w:type="dxa"/>
            <w:vAlign w:val="center"/>
          </w:tcPr>
          <w:p w:rsidR="009B4755" w:rsidRPr="003F026A" w:rsidRDefault="009B4755" w:rsidP="00442776">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B4755" w:rsidRPr="003F026A" w:rsidRDefault="009B4755" w:rsidP="00442776">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B4755" w:rsidRPr="003F026A" w:rsidRDefault="009B4755" w:rsidP="00442776">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B4755" w:rsidRPr="003F026A" w:rsidRDefault="009B4755" w:rsidP="00442776">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095" w:type="dxa"/>
            <w:vAlign w:val="center"/>
          </w:tcPr>
          <w:p w:rsidR="009B4755" w:rsidRDefault="009B4755" w:rsidP="00442776">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B4755" w:rsidRPr="003F026A" w:rsidRDefault="009B4755" w:rsidP="0044277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B13E78">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B4755" w:rsidRPr="003F026A" w:rsidTr="00442776">
        <w:trPr>
          <w:trHeight w:val="645"/>
        </w:trPr>
        <w:tc>
          <w:tcPr>
            <w:tcW w:w="1222" w:type="dxa"/>
            <w:vMerge w:val="restart"/>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B4755" w:rsidRPr="003F026A" w:rsidRDefault="009B4755" w:rsidP="00F140EE">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F140EE">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B4755" w:rsidRPr="00D949D0" w:rsidRDefault="009B4755" w:rsidP="00442776">
            <w:pPr>
              <w:jc w:val="center"/>
              <w:rPr>
                <w:rFonts w:asciiTheme="majorEastAsia" w:eastAsiaTheme="majorEastAsia" w:hAnsiTheme="majorEastAsia"/>
                <w:color w:val="FF0000"/>
                <w:sz w:val="21"/>
                <w:szCs w:val="21"/>
              </w:rPr>
            </w:pPr>
          </w:p>
        </w:tc>
        <w:tc>
          <w:tcPr>
            <w:tcW w:w="6095" w:type="dxa"/>
            <w:vMerge w:val="restart"/>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420"/>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vMerge/>
          </w:tcPr>
          <w:p w:rsidR="009B4755" w:rsidRPr="003F026A" w:rsidRDefault="009B4755" w:rsidP="00442776">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B4755" w:rsidRPr="003F026A" w:rsidRDefault="009B4755" w:rsidP="00442776">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B4755" w:rsidRPr="00D949D0" w:rsidRDefault="009B4755" w:rsidP="00442776">
            <w:pPr>
              <w:jc w:val="center"/>
              <w:rPr>
                <w:rFonts w:asciiTheme="majorEastAsia" w:eastAsiaTheme="majorEastAsia" w:hAnsiTheme="majorEastAsia"/>
                <w:color w:val="FF0000"/>
                <w:sz w:val="21"/>
                <w:szCs w:val="21"/>
              </w:rPr>
            </w:pPr>
          </w:p>
        </w:tc>
        <w:tc>
          <w:tcPr>
            <w:tcW w:w="6095" w:type="dxa"/>
            <w:vMerge/>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360"/>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B4755" w:rsidRPr="003F026A" w:rsidRDefault="009B4755" w:rsidP="00442776">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B4755" w:rsidRDefault="009B4755" w:rsidP="00442776">
            <w:pPr>
              <w:jc w:val="center"/>
              <w:rPr>
                <w:rFonts w:asciiTheme="majorEastAsia" w:eastAsiaTheme="majorEastAsia" w:hAnsiTheme="majorEastAsia"/>
                <w:color w:val="FF0000"/>
                <w:sz w:val="21"/>
                <w:szCs w:val="21"/>
              </w:rPr>
            </w:pPr>
          </w:p>
          <w:p w:rsidR="00B6611A" w:rsidRDefault="00B6611A" w:rsidP="00442776">
            <w:pPr>
              <w:jc w:val="center"/>
              <w:rPr>
                <w:rFonts w:asciiTheme="majorEastAsia" w:eastAsiaTheme="majorEastAsia" w:hAnsiTheme="majorEastAsia"/>
                <w:color w:val="FF0000"/>
                <w:sz w:val="21"/>
                <w:szCs w:val="21"/>
              </w:rPr>
            </w:pPr>
          </w:p>
          <w:p w:rsidR="00B6611A" w:rsidRPr="00D949D0" w:rsidRDefault="00B6611A" w:rsidP="00442776">
            <w:pPr>
              <w:jc w:val="center"/>
              <w:rPr>
                <w:rFonts w:asciiTheme="majorEastAsia" w:eastAsiaTheme="majorEastAsia" w:hAnsiTheme="majorEastAsia"/>
                <w:color w:val="FF0000"/>
                <w:sz w:val="21"/>
                <w:szCs w:val="21"/>
              </w:rPr>
            </w:pPr>
          </w:p>
        </w:tc>
        <w:tc>
          <w:tcPr>
            <w:tcW w:w="6095" w:type="dxa"/>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345"/>
        </w:trPr>
        <w:tc>
          <w:tcPr>
            <w:tcW w:w="1222" w:type="dxa"/>
            <w:vMerge w:val="restart"/>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B4755" w:rsidRPr="003F026A" w:rsidRDefault="009B4755" w:rsidP="00442776">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B4755" w:rsidRPr="00D949D0" w:rsidRDefault="009B4755" w:rsidP="00B13E78">
            <w:pPr>
              <w:jc w:val="center"/>
              <w:rPr>
                <w:rFonts w:asciiTheme="majorEastAsia" w:eastAsiaTheme="majorEastAsia" w:hAnsiTheme="majorEastAsia"/>
                <w:color w:val="FF0000"/>
                <w:sz w:val="21"/>
                <w:szCs w:val="21"/>
              </w:rPr>
            </w:pPr>
          </w:p>
        </w:tc>
        <w:tc>
          <w:tcPr>
            <w:tcW w:w="6095" w:type="dxa"/>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1007"/>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tcPr>
          <w:p w:rsidR="009B4755" w:rsidRPr="003F026A" w:rsidRDefault="009B4755" w:rsidP="00442776">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B4755" w:rsidRPr="003F026A" w:rsidRDefault="009B4755">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B4755" w:rsidRPr="00D949D0" w:rsidRDefault="009B4755" w:rsidP="00442776">
            <w:pPr>
              <w:jc w:val="center"/>
              <w:rPr>
                <w:rFonts w:asciiTheme="majorEastAsia" w:eastAsiaTheme="majorEastAsia" w:hAnsiTheme="majorEastAsia"/>
                <w:color w:val="FF0000"/>
                <w:sz w:val="21"/>
                <w:szCs w:val="21"/>
              </w:rPr>
            </w:pPr>
          </w:p>
        </w:tc>
        <w:tc>
          <w:tcPr>
            <w:tcW w:w="6095" w:type="dxa"/>
          </w:tcPr>
          <w:p w:rsidR="009B4755" w:rsidRPr="003F026A" w:rsidRDefault="009B4755" w:rsidP="00B13E78">
            <w:pPr>
              <w:rPr>
                <w:rFonts w:asciiTheme="majorEastAsia" w:eastAsiaTheme="majorEastAsia" w:hAnsiTheme="majorEastAsia"/>
                <w:sz w:val="18"/>
                <w:szCs w:val="18"/>
              </w:rPr>
            </w:pPr>
          </w:p>
        </w:tc>
      </w:tr>
      <w:tr w:rsidR="009B4755" w:rsidRPr="003F026A" w:rsidTr="00442776">
        <w:trPr>
          <w:trHeight w:val="735"/>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vMerge w:val="restart"/>
          </w:tcPr>
          <w:p w:rsidR="009B4755" w:rsidRPr="003F026A" w:rsidRDefault="009B4755" w:rsidP="00442776">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B4755" w:rsidRPr="003F026A" w:rsidRDefault="009B4755" w:rsidP="00F140EE">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F140EE">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B4755" w:rsidRPr="00D949D0" w:rsidRDefault="009B4755" w:rsidP="00442776">
            <w:pPr>
              <w:jc w:val="center"/>
              <w:rPr>
                <w:rFonts w:asciiTheme="majorEastAsia" w:eastAsiaTheme="majorEastAsia" w:hAnsiTheme="majorEastAsia"/>
                <w:color w:val="FF0000"/>
                <w:sz w:val="21"/>
                <w:szCs w:val="21"/>
              </w:rPr>
            </w:pPr>
          </w:p>
        </w:tc>
        <w:tc>
          <w:tcPr>
            <w:tcW w:w="6095" w:type="dxa"/>
            <w:vMerge w:val="restart"/>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690"/>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vMerge/>
          </w:tcPr>
          <w:p w:rsidR="009B4755" w:rsidRPr="003F026A" w:rsidRDefault="009B4755" w:rsidP="00442776">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B4755" w:rsidRPr="003F026A" w:rsidRDefault="009B4755">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F140EE">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B4755" w:rsidRPr="00D949D0" w:rsidRDefault="009B4755" w:rsidP="00442776">
            <w:pPr>
              <w:jc w:val="center"/>
              <w:rPr>
                <w:rFonts w:asciiTheme="majorEastAsia" w:eastAsiaTheme="majorEastAsia" w:hAnsiTheme="majorEastAsia"/>
                <w:color w:val="FF0000"/>
                <w:sz w:val="21"/>
                <w:szCs w:val="21"/>
              </w:rPr>
            </w:pPr>
          </w:p>
        </w:tc>
        <w:tc>
          <w:tcPr>
            <w:tcW w:w="6095" w:type="dxa"/>
            <w:vMerge/>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706"/>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tcPr>
          <w:p w:rsidR="009B4755" w:rsidRPr="003F026A" w:rsidRDefault="009B4755" w:rsidP="00442776">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B4755" w:rsidRPr="003F026A" w:rsidRDefault="009B4755">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B4755" w:rsidRPr="00D949D0" w:rsidRDefault="009B4755" w:rsidP="00442776">
            <w:pPr>
              <w:jc w:val="center"/>
              <w:rPr>
                <w:rFonts w:asciiTheme="majorEastAsia" w:eastAsiaTheme="majorEastAsia" w:hAnsiTheme="majorEastAsia"/>
                <w:color w:val="FF0000"/>
                <w:sz w:val="21"/>
                <w:szCs w:val="21"/>
              </w:rPr>
            </w:pPr>
          </w:p>
        </w:tc>
        <w:tc>
          <w:tcPr>
            <w:tcW w:w="6095" w:type="dxa"/>
          </w:tcPr>
          <w:p w:rsidR="009B4755" w:rsidRPr="005B5A44" w:rsidRDefault="009B4755" w:rsidP="00442776">
            <w:pPr>
              <w:rPr>
                <w:rFonts w:asciiTheme="majorEastAsia" w:eastAsiaTheme="majorEastAsia" w:hAnsiTheme="majorEastAsia"/>
                <w:sz w:val="18"/>
                <w:szCs w:val="18"/>
              </w:rPr>
            </w:pPr>
          </w:p>
        </w:tc>
      </w:tr>
      <w:tr w:rsidR="009B4755" w:rsidRPr="003F026A" w:rsidTr="00442776">
        <w:trPr>
          <w:trHeight w:val="630"/>
        </w:trPr>
        <w:tc>
          <w:tcPr>
            <w:tcW w:w="1222" w:type="dxa"/>
            <w:vMerge/>
          </w:tcPr>
          <w:p w:rsidR="009B4755" w:rsidRPr="003F026A" w:rsidRDefault="009B4755" w:rsidP="00442776">
            <w:pPr>
              <w:rPr>
                <w:rFonts w:asciiTheme="majorEastAsia" w:eastAsiaTheme="majorEastAsia" w:hAnsiTheme="majorEastAsia"/>
                <w:sz w:val="18"/>
                <w:szCs w:val="18"/>
              </w:rPr>
            </w:pPr>
          </w:p>
        </w:tc>
        <w:tc>
          <w:tcPr>
            <w:tcW w:w="1134" w:type="dxa"/>
          </w:tcPr>
          <w:p w:rsidR="009B4755" w:rsidRPr="003F026A" w:rsidRDefault="009B4755" w:rsidP="00442776">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B4755" w:rsidRPr="003F026A" w:rsidRDefault="009B4755" w:rsidP="00442776">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B4755" w:rsidRPr="003F026A" w:rsidRDefault="009B4755" w:rsidP="00442776">
            <w:pPr>
              <w:jc w:val="center"/>
              <w:rPr>
                <w:rFonts w:asciiTheme="majorEastAsia" w:eastAsiaTheme="majorEastAsia" w:hAnsiTheme="majorEastAsia"/>
                <w:sz w:val="18"/>
                <w:szCs w:val="18"/>
              </w:rPr>
            </w:pPr>
          </w:p>
        </w:tc>
        <w:tc>
          <w:tcPr>
            <w:tcW w:w="6095" w:type="dxa"/>
          </w:tcPr>
          <w:p w:rsidR="009B4755" w:rsidRPr="003F026A" w:rsidRDefault="009B4755" w:rsidP="00442776">
            <w:pPr>
              <w:rPr>
                <w:rFonts w:asciiTheme="majorEastAsia" w:eastAsiaTheme="majorEastAsia" w:hAnsiTheme="majorEastAsia"/>
                <w:sz w:val="18"/>
                <w:szCs w:val="18"/>
              </w:rPr>
            </w:pPr>
          </w:p>
        </w:tc>
      </w:tr>
      <w:tr w:rsidR="009B4755" w:rsidRPr="003F026A" w:rsidTr="00442776">
        <w:trPr>
          <w:trHeight w:val="390"/>
        </w:trPr>
        <w:tc>
          <w:tcPr>
            <w:tcW w:w="1222" w:type="dxa"/>
            <w:vMerge w:val="restart"/>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荷崩れ</w:t>
            </w: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315"/>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465"/>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405"/>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645"/>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の実施</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16"/>
        </w:trPr>
        <w:tc>
          <w:tcPr>
            <w:tcW w:w="1222" w:type="dxa"/>
            <w:vMerge w:val="restart"/>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690"/>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vMerge w:val="restart"/>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B4755" w:rsidRPr="003F026A" w:rsidRDefault="009B4755" w:rsidP="00442776">
            <w:pPr>
              <w:jc w:val="center"/>
              <w:rPr>
                <w:rFonts w:asciiTheme="majorEastAsia" w:eastAsiaTheme="majorEastAsia" w:hAnsiTheme="majorEastAsia"/>
              </w:rPr>
            </w:pPr>
          </w:p>
        </w:tc>
        <w:tc>
          <w:tcPr>
            <w:tcW w:w="6095" w:type="dxa"/>
            <w:vMerge w:val="restart"/>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735"/>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vMerge/>
          </w:tcPr>
          <w:p w:rsidR="009B4755" w:rsidRPr="003F026A" w:rsidRDefault="009B4755" w:rsidP="00442776">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B4755" w:rsidRPr="003F026A" w:rsidRDefault="009B4755" w:rsidP="00442776">
            <w:pPr>
              <w:jc w:val="center"/>
              <w:rPr>
                <w:rFonts w:asciiTheme="majorEastAsia" w:eastAsiaTheme="majorEastAsia" w:hAnsiTheme="majorEastAsia"/>
              </w:rPr>
            </w:pPr>
          </w:p>
        </w:tc>
        <w:tc>
          <w:tcPr>
            <w:tcW w:w="6095" w:type="dxa"/>
            <w:vMerge/>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16"/>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16"/>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708"/>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07"/>
        </w:trPr>
        <w:tc>
          <w:tcPr>
            <w:tcW w:w="1222" w:type="dxa"/>
            <w:vMerge w:val="restart"/>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06"/>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w:t>
            </w:r>
            <w:r w:rsidRPr="003F026A">
              <w:rPr>
                <w:rFonts w:asciiTheme="majorEastAsia" w:eastAsiaTheme="majorEastAsia" w:hAnsiTheme="majorEastAsia" w:hint="eastAsia"/>
                <w:sz w:val="18"/>
                <w:szCs w:val="18"/>
              </w:rPr>
              <w:lastRenderedPageBreak/>
              <w:t>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06"/>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206"/>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159"/>
        </w:trPr>
        <w:tc>
          <w:tcPr>
            <w:tcW w:w="1222" w:type="dxa"/>
            <w:vMerge w:val="restart"/>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159"/>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159"/>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159"/>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r w:rsidR="009B4755" w:rsidRPr="003F026A" w:rsidTr="00442776">
        <w:trPr>
          <w:trHeight w:val="159"/>
        </w:trPr>
        <w:tc>
          <w:tcPr>
            <w:tcW w:w="1222" w:type="dxa"/>
            <w:vMerge/>
          </w:tcPr>
          <w:p w:rsidR="009B4755" w:rsidRPr="003F026A" w:rsidRDefault="009B4755" w:rsidP="00442776">
            <w:pPr>
              <w:rPr>
                <w:rFonts w:asciiTheme="majorEastAsia" w:eastAsiaTheme="majorEastAsia" w:hAnsiTheme="majorEastAsia"/>
                <w:szCs w:val="21"/>
              </w:rPr>
            </w:pPr>
          </w:p>
        </w:tc>
        <w:tc>
          <w:tcPr>
            <w:tcW w:w="1134" w:type="dxa"/>
          </w:tcPr>
          <w:p w:rsidR="009B4755" w:rsidRPr="003F026A" w:rsidRDefault="009B4755" w:rsidP="00442776">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B4755" w:rsidRPr="003F026A" w:rsidRDefault="009B4755" w:rsidP="00442776">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B4755" w:rsidRPr="003F026A" w:rsidRDefault="009B4755" w:rsidP="00442776">
            <w:pPr>
              <w:jc w:val="center"/>
              <w:rPr>
                <w:rFonts w:asciiTheme="majorEastAsia" w:eastAsiaTheme="majorEastAsia" w:hAnsiTheme="majorEastAsia"/>
              </w:rPr>
            </w:pPr>
          </w:p>
        </w:tc>
        <w:tc>
          <w:tcPr>
            <w:tcW w:w="6095" w:type="dxa"/>
          </w:tcPr>
          <w:p w:rsidR="009B4755" w:rsidRPr="003F026A" w:rsidRDefault="009B4755" w:rsidP="00442776">
            <w:pPr>
              <w:rPr>
                <w:rFonts w:asciiTheme="majorEastAsia" w:eastAsiaTheme="majorEastAsia" w:hAnsiTheme="majorEastAsia"/>
                <w:szCs w:val="21"/>
              </w:rPr>
            </w:pPr>
          </w:p>
        </w:tc>
      </w:tr>
    </w:tbl>
    <w:p w:rsidR="009B4755" w:rsidRPr="00D16C25" w:rsidRDefault="009B4755" w:rsidP="009B4755">
      <w:pPr>
        <w:pStyle w:val="a7"/>
        <w:numPr>
          <w:ilvl w:val="0"/>
          <w:numId w:val="13"/>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9B4755" w:rsidRPr="00D16C25" w:rsidRDefault="009B4755" w:rsidP="009B4755">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rsidR="00760E1E" w:rsidRPr="00730D32" w:rsidRDefault="00760E1E" w:rsidP="00730D32">
      <w:pPr>
        <w:rPr>
          <w:sz w:val="18"/>
          <w:szCs w:val="18"/>
        </w:rPr>
      </w:pPr>
    </w:p>
    <w:sectPr w:rsidR="00760E1E" w:rsidRPr="00730D32" w:rsidSect="009B475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F4" w:rsidRDefault="005445F4" w:rsidP="00B11BB1">
      <w:r>
        <w:separator/>
      </w:r>
    </w:p>
  </w:endnote>
  <w:endnote w:type="continuationSeparator" w:id="0">
    <w:p w:rsidR="005445F4" w:rsidRDefault="005445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F4" w:rsidRDefault="005445F4" w:rsidP="00B11BB1">
      <w:r>
        <w:separator/>
      </w:r>
    </w:p>
  </w:footnote>
  <w:footnote w:type="continuationSeparator" w:id="0">
    <w:p w:rsidR="005445F4" w:rsidRDefault="005445F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06B99"/>
    <w:multiLevelType w:val="hybridMultilevel"/>
    <w:tmpl w:val="DC600048"/>
    <w:lvl w:ilvl="0" w:tplc="21CAB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92535D"/>
    <w:multiLevelType w:val="hybridMultilevel"/>
    <w:tmpl w:val="B4DAAD0A"/>
    <w:lvl w:ilvl="0" w:tplc="447236B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6"/>
  </w:num>
  <w:num w:numId="3">
    <w:abstractNumId w:val="2"/>
  </w:num>
  <w:num w:numId="4">
    <w:abstractNumId w:val="0"/>
  </w:num>
  <w:num w:numId="5">
    <w:abstractNumId w:val="8"/>
  </w:num>
  <w:num w:numId="6">
    <w:abstractNumId w:val="1"/>
  </w:num>
  <w:num w:numId="7">
    <w:abstractNumId w:val="5"/>
  </w:num>
  <w:num w:numId="8">
    <w:abstractNumId w:val="10"/>
  </w:num>
  <w:num w:numId="9">
    <w:abstractNumId w:val="3"/>
  </w:num>
  <w:num w:numId="10">
    <w:abstractNumId w:val="12"/>
  </w:num>
  <w:num w:numId="11">
    <w:abstractNumId w:val="14"/>
  </w:num>
  <w:num w:numId="12">
    <w:abstractNumId w:val="1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10F55"/>
    <w:rsid w:val="0002289A"/>
    <w:rsid w:val="0002593A"/>
    <w:rsid w:val="0003001E"/>
    <w:rsid w:val="00043BE0"/>
    <w:rsid w:val="000463A9"/>
    <w:rsid w:val="0004665A"/>
    <w:rsid w:val="000600B5"/>
    <w:rsid w:val="00065BEF"/>
    <w:rsid w:val="00077194"/>
    <w:rsid w:val="000829ED"/>
    <w:rsid w:val="00086D2F"/>
    <w:rsid w:val="00095D37"/>
    <w:rsid w:val="000A00D5"/>
    <w:rsid w:val="000A283F"/>
    <w:rsid w:val="000A2930"/>
    <w:rsid w:val="000B4C1B"/>
    <w:rsid w:val="000B54C6"/>
    <w:rsid w:val="000C2404"/>
    <w:rsid w:val="000C4758"/>
    <w:rsid w:val="000D006A"/>
    <w:rsid w:val="000E0137"/>
    <w:rsid w:val="000E1905"/>
    <w:rsid w:val="000E1EF1"/>
    <w:rsid w:val="000F79F3"/>
    <w:rsid w:val="00106C7A"/>
    <w:rsid w:val="001119C0"/>
    <w:rsid w:val="00112BEC"/>
    <w:rsid w:val="0011529E"/>
    <w:rsid w:val="00115369"/>
    <w:rsid w:val="0011764C"/>
    <w:rsid w:val="00135469"/>
    <w:rsid w:val="00136EBF"/>
    <w:rsid w:val="001430E1"/>
    <w:rsid w:val="00143F9C"/>
    <w:rsid w:val="00172078"/>
    <w:rsid w:val="00180693"/>
    <w:rsid w:val="001820D5"/>
    <w:rsid w:val="00184FE9"/>
    <w:rsid w:val="00191208"/>
    <w:rsid w:val="00191863"/>
    <w:rsid w:val="001A40C8"/>
    <w:rsid w:val="001A6C9C"/>
    <w:rsid w:val="001B18CA"/>
    <w:rsid w:val="001B37F2"/>
    <w:rsid w:val="001D1321"/>
    <w:rsid w:val="001D5752"/>
    <w:rsid w:val="001E75C0"/>
    <w:rsid w:val="001F1954"/>
    <w:rsid w:val="00210EE9"/>
    <w:rsid w:val="0021318F"/>
    <w:rsid w:val="00215CA9"/>
    <w:rsid w:val="002220C8"/>
    <w:rsid w:val="0022212A"/>
    <w:rsid w:val="00240A15"/>
    <w:rsid w:val="002679DB"/>
    <w:rsid w:val="00277CFF"/>
    <w:rsid w:val="002806E3"/>
    <w:rsid w:val="002830DB"/>
    <w:rsid w:val="00291881"/>
    <w:rsid w:val="002934F6"/>
    <w:rsid w:val="002944B5"/>
    <w:rsid w:val="002C1D57"/>
    <w:rsid w:val="002C6AAA"/>
    <w:rsid w:val="002C7CBB"/>
    <w:rsid w:val="002D161D"/>
    <w:rsid w:val="002D45F7"/>
    <w:rsid w:val="002E7758"/>
    <w:rsid w:val="002E7941"/>
    <w:rsid w:val="002F10E3"/>
    <w:rsid w:val="002F4A37"/>
    <w:rsid w:val="002F6223"/>
    <w:rsid w:val="0032592E"/>
    <w:rsid w:val="0033345B"/>
    <w:rsid w:val="003338CC"/>
    <w:rsid w:val="00333ECC"/>
    <w:rsid w:val="003376C3"/>
    <w:rsid w:val="003428F7"/>
    <w:rsid w:val="00343F2B"/>
    <w:rsid w:val="00344A0A"/>
    <w:rsid w:val="00346406"/>
    <w:rsid w:val="00346719"/>
    <w:rsid w:val="003503B8"/>
    <w:rsid w:val="00355F8E"/>
    <w:rsid w:val="003626CD"/>
    <w:rsid w:val="00366DFA"/>
    <w:rsid w:val="00372A05"/>
    <w:rsid w:val="003774F6"/>
    <w:rsid w:val="0038384A"/>
    <w:rsid w:val="00387BDD"/>
    <w:rsid w:val="00395D9F"/>
    <w:rsid w:val="003963CF"/>
    <w:rsid w:val="003A07E1"/>
    <w:rsid w:val="003A60E1"/>
    <w:rsid w:val="003A780D"/>
    <w:rsid w:val="003B233E"/>
    <w:rsid w:val="003C0E74"/>
    <w:rsid w:val="003C7E84"/>
    <w:rsid w:val="003D11E9"/>
    <w:rsid w:val="003D6C21"/>
    <w:rsid w:val="003D7006"/>
    <w:rsid w:val="003D7BC4"/>
    <w:rsid w:val="003E73E3"/>
    <w:rsid w:val="003F2A27"/>
    <w:rsid w:val="00407C93"/>
    <w:rsid w:val="004177BF"/>
    <w:rsid w:val="00425E8B"/>
    <w:rsid w:val="00435E08"/>
    <w:rsid w:val="004376BF"/>
    <w:rsid w:val="004449D9"/>
    <w:rsid w:val="00457A85"/>
    <w:rsid w:val="0046561B"/>
    <w:rsid w:val="00470E91"/>
    <w:rsid w:val="00473FD0"/>
    <w:rsid w:val="004758AD"/>
    <w:rsid w:val="0048641E"/>
    <w:rsid w:val="00491AF6"/>
    <w:rsid w:val="00493535"/>
    <w:rsid w:val="00496000"/>
    <w:rsid w:val="004B077B"/>
    <w:rsid w:val="004B241D"/>
    <w:rsid w:val="004D063D"/>
    <w:rsid w:val="004D096E"/>
    <w:rsid w:val="004D46E4"/>
    <w:rsid w:val="004E052E"/>
    <w:rsid w:val="004E2E04"/>
    <w:rsid w:val="004E4205"/>
    <w:rsid w:val="004E46E9"/>
    <w:rsid w:val="004E6DE3"/>
    <w:rsid w:val="004E7FF5"/>
    <w:rsid w:val="004F2CDE"/>
    <w:rsid w:val="00500E45"/>
    <w:rsid w:val="00504088"/>
    <w:rsid w:val="00505020"/>
    <w:rsid w:val="00510518"/>
    <w:rsid w:val="00516F71"/>
    <w:rsid w:val="00524B94"/>
    <w:rsid w:val="005410AF"/>
    <w:rsid w:val="0054355F"/>
    <w:rsid w:val="0054455C"/>
    <w:rsid w:val="005445F4"/>
    <w:rsid w:val="00551722"/>
    <w:rsid w:val="00557CF3"/>
    <w:rsid w:val="00563869"/>
    <w:rsid w:val="0057027C"/>
    <w:rsid w:val="00591B2A"/>
    <w:rsid w:val="00591F90"/>
    <w:rsid w:val="00594B8E"/>
    <w:rsid w:val="0059799E"/>
    <w:rsid w:val="005A3C9B"/>
    <w:rsid w:val="005A5F97"/>
    <w:rsid w:val="005B3B56"/>
    <w:rsid w:val="005B616C"/>
    <w:rsid w:val="005C0672"/>
    <w:rsid w:val="005C52DA"/>
    <w:rsid w:val="005D4C5F"/>
    <w:rsid w:val="005E1F88"/>
    <w:rsid w:val="005E2FD3"/>
    <w:rsid w:val="005E389D"/>
    <w:rsid w:val="005E4AAF"/>
    <w:rsid w:val="005E66CD"/>
    <w:rsid w:val="005E703C"/>
    <w:rsid w:val="00600072"/>
    <w:rsid w:val="00613466"/>
    <w:rsid w:val="006232C9"/>
    <w:rsid w:val="00631CC4"/>
    <w:rsid w:val="00631E29"/>
    <w:rsid w:val="00634759"/>
    <w:rsid w:val="006419F4"/>
    <w:rsid w:val="006529CB"/>
    <w:rsid w:val="00666CA0"/>
    <w:rsid w:val="006A4F1B"/>
    <w:rsid w:val="006B0E4A"/>
    <w:rsid w:val="006B117C"/>
    <w:rsid w:val="006B5CF7"/>
    <w:rsid w:val="006D563A"/>
    <w:rsid w:val="006F0730"/>
    <w:rsid w:val="0071119D"/>
    <w:rsid w:val="00713940"/>
    <w:rsid w:val="00722279"/>
    <w:rsid w:val="00724821"/>
    <w:rsid w:val="00730D32"/>
    <w:rsid w:val="00733045"/>
    <w:rsid w:val="00737CC1"/>
    <w:rsid w:val="007463B0"/>
    <w:rsid w:val="00757F37"/>
    <w:rsid w:val="00760E1E"/>
    <w:rsid w:val="00765BF6"/>
    <w:rsid w:val="00767104"/>
    <w:rsid w:val="00770C53"/>
    <w:rsid w:val="0077137D"/>
    <w:rsid w:val="0079143D"/>
    <w:rsid w:val="007A03A3"/>
    <w:rsid w:val="007A1A3E"/>
    <w:rsid w:val="007B296B"/>
    <w:rsid w:val="007C133D"/>
    <w:rsid w:val="007C7EEE"/>
    <w:rsid w:val="007D0F8C"/>
    <w:rsid w:val="007D1A0B"/>
    <w:rsid w:val="007D5E10"/>
    <w:rsid w:val="007E3E8B"/>
    <w:rsid w:val="007F2737"/>
    <w:rsid w:val="0080554B"/>
    <w:rsid w:val="00805631"/>
    <w:rsid w:val="00812B9B"/>
    <w:rsid w:val="008212D5"/>
    <w:rsid w:val="008213FC"/>
    <w:rsid w:val="00822819"/>
    <w:rsid w:val="00833997"/>
    <w:rsid w:val="0083547A"/>
    <w:rsid w:val="008360F7"/>
    <w:rsid w:val="008363B3"/>
    <w:rsid w:val="0084662E"/>
    <w:rsid w:val="008526AD"/>
    <w:rsid w:val="00866AE9"/>
    <w:rsid w:val="00871266"/>
    <w:rsid w:val="008776D2"/>
    <w:rsid w:val="00881874"/>
    <w:rsid w:val="00884258"/>
    <w:rsid w:val="00886390"/>
    <w:rsid w:val="00887E2D"/>
    <w:rsid w:val="008937B5"/>
    <w:rsid w:val="008B7BA3"/>
    <w:rsid w:val="008C0CD9"/>
    <w:rsid w:val="008C386A"/>
    <w:rsid w:val="008C3E32"/>
    <w:rsid w:val="008C50EF"/>
    <w:rsid w:val="008C7F22"/>
    <w:rsid w:val="008D5635"/>
    <w:rsid w:val="008F393F"/>
    <w:rsid w:val="00914550"/>
    <w:rsid w:val="0092508E"/>
    <w:rsid w:val="009315A4"/>
    <w:rsid w:val="009353D2"/>
    <w:rsid w:val="009355B8"/>
    <w:rsid w:val="0095454F"/>
    <w:rsid w:val="00971226"/>
    <w:rsid w:val="009730A3"/>
    <w:rsid w:val="00977B46"/>
    <w:rsid w:val="00987A80"/>
    <w:rsid w:val="009900F7"/>
    <w:rsid w:val="00990B81"/>
    <w:rsid w:val="00990C42"/>
    <w:rsid w:val="00995AB6"/>
    <w:rsid w:val="00996448"/>
    <w:rsid w:val="009A365F"/>
    <w:rsid w:val="009A75C5"/>
    <w:rsid w:val="009B1712"/>
    <w:rsid w:val="009B1A07"/>
    <w:rsid w:val="009B4755"/>
    <w:rsid w:val="009B49FF"/>
    <w:rsid w:val="009B4F8C"/>
    <w:rsid w:val="009C187B"/>
    <w:rsid w:val="009C578E"/>
    <w:rsid w:val="009C70AE"/>
    <w:rsid w:val="009E6C40"/>
    <w:rsid w:val="009F274C"/>
    <w:rsid w:val="009F6876"/>
    <w:rsid w:val="00A00467"/>
    <w:rsid w:val="00A05D86"/>
    <w:rsid w:val="00A23400"/>
    <w:rsid w:val="00A317ED"/>
    <w:rsid w:val="00A3396F"/>
    <w:rsid w:val="00A36286"/>
    <w:rsid w:val="00A42D33"/>
    <w:rsid w:val="00A57855"/>
    <w:rsid w:val="00A57B70"/>
    <w:rsid w:val="00A62D9B"/>
    <w:rsid w:val="00A64478"/>
    <w:rsid w:val="00A665B4"/>
    <w:rsid w:val="00A71B24"/>
    <w:rsid w:val="00A811C0"/>
    <w:rsid w:val="00A83EB5"/>
    <w:rsid w:val="00A87162"/>
    <w:rsid w:val="00A87D64"/>
    <w:rsid w:val="00A9076A"/>
    <w:rsid w:val="00A935D4"/>
    <w:rsid w:val="00AA41E1"/>
    <w:rsid w:val="00AA4AEE"/>
    <w:rsid w:val="00AA73C7"/>
    <w:rsid w:val="00AB0520"/>
    <w:rsid w:val="00AC0DBC"/>
    <w:rsid w:val="00AC2170"/>
    <w:rsid w:val="00AC7B9A"/>
    <w:rsid w:val="00AD6DEB"/>
    <w:rsid w:val="00AE027A"/>
    <w:rsid w:val="00AE13CD"/>
    <w:rsid w:val="00AF1021"/>
    <w:rsid w:val="00AF3DE2"/>
    <w:rsid w:val="00AF5F29"/>
    <w:rsid w:val="00B010EC"/>
    <w:rsid w:val="00B05864"/>
    <w:rsid w:val="00B0631F"/>
    <w:rsid w:val="00B06A78"/>
    <w:rsid w:val="00B11BB1"/>
    <w:rsid w:val="00B13E78"/>
    <w:rsid w:val="00B15DBA"/>
    <w:rsid w:val="00B215CC"/>
    <w:rsid w:val="00B26237"/>
    <w:rsid w:val="00B27D11"/>
    <w:rsid w:val="00B33000"/>
    <w:rsid w:val="00B47C27"/>
    <w:rsid w:val="00B508B9"/>
    <w:rsid w:val="00B55BCA"/>
    <w:rsid w:val="00B61B40"/>
    <w:rsid w:val="00B61CF9"/>
    <w:rsid w:val="00B64C77"/>
    <w:rsid w:val="00B6611A"/>
    <w:rsid w:val="00B66BC1"/>
    <w:rsid w:val="00B82725"/>
    <w:rsid w:val="00B8546F"/>
    <w:rsid w:val="00B92ED8"/>
    <w:rsid w:val="00BA4D39"/>
    <w:rsid w:val="00BB266C"/>
    <w:rsid w:val="00BB46A6"/>
    <w:rsid w:val="00BB4A8B"/>
    <w:rsid w:val="00BB74E7"/>
    <w:rsid w:val="00BB7851"/>
    <w:rsid w:val="00BC7BD4"/>
    <w:rsid w:val="00BD13D6"/>
    <w:rsid w:val="00BD6B7B"/>
    <w:rsid w:val="00BF169E"/>
    <w:rsid w:val="00BF3822"/>
    <w:rsid w:val="00BF6D1C"/>
    <w:rsid w:val="00C00B1B"/>
    <w:rsid w:val="00C10144"/>
    <w:rsid w:val="00C15160"/>
    <w:rsid w:val="00C156C4"/>
    <w:rsid w:val="00C237CF"/>
    <w:rsid w:val="00C24DF4"/>
    <w:rsid w:val="00C26DD3"/>
    <w:rsid w:val="00C53741"/>
    <w:rsid w:val="00C63508"/>
    <w:rsid w:val="00C65E1A"/>
    <w:rsid w:val="00C7328D"/>
    <w:rsid w:val="00C84679"/>
    <w:rsid w:val="00C84F2A"/>
    <w:rsid w:val="00C93655"/>
    <w:rsid w:val="00CA28BF"/>
    <w:rsid w:val="00CA5D8F"/>
    <w:rsid w:val="00CA6492"/>
    <w:rsid w:val="00CB6792"/>
    <w:rsid w:val="00CC01EA"/>
    <w:rsid w:val="00CC28BB"/>
    <w:rsid w:val="00CC59DA"/>
    <w:rsid w:val="00CD0E0A"/>
    <w:rsid w:val="00CE2F2B"/>
    <w:rsid w:val="00CF06A9"/>
    <w:rsid w:val="00CF0EFC"/>
    <w:rsid w:val="00D01CF8"/>
    <w:rsid w:val="00D047A3"/>
    <w:rsid w:val="00D14F06"/>
    <w:rsid w:val="00D17604"/>
    <w:rsid w:val="00D26FFC"/>
    <w:rsid w:val="00D355F8"/>
    <w:rsid w:val="00D4742B"/>
    <w:rsid w:val="00D521E0"/>
    <w:rsid w:val="00D70C54"/>
    <w:rsid w:val="00D75C25"/>
    <w:rsid w:val="00D77A22"/>
    <w:rsid w:val="00D86AC2"/>
    <w:rsid w:val="00D86B22"/>
    <w:rsid w:val="00D87B23"/>
    <w:rsid w:val="00D949D0"/>
    <w:rsid w:val="00D97E07"/>
    <w:rsid w:val="00DA1F17"/>
    <w:rsid w:val="00DA3AFF"/>
    <w:rsid w:val="00DA54FF"/>
    <w:rsid w:val="00DB0184"/>
    <w:rsid w:val="00DB08FC"/>
    <w:rsid w:val="00DC15B7"/>
    <w:rsid w:val="00DC2159"/>
    <w:rsid w:val="00DC2164"/>
    <w:rsid w:val="00DC5B14"/>
    <w:rsid w:val="00DC7550"/>
    <w:rsid w:val="00DD4F5F"/>
    <w:rsid w:val="00DE157C"/>
    <w:rsid w:val="00DE2117"/>
    <w:rsid w:val="00DE4016"/>
    <w:rsid w:val="00DE5691"/>
    <w:rsid w:val="00DF5201"/>
    <w:rsid w:val="00E066F1"/>
    <w:rsid w:val="00E11AF8"/>
    <w:rsid w:val="00E11B82"/>
    <w:rsid w:val="00E123C4"/>
    <w:rsid w:val="00E1501C"/>
    <w:rsid w:val="00E256EE"/>
    <w:rsid w:val="00E404B8"/>
    <w:rsid w:val="00E465F0"/>
    <w:rsid w:val="00E477DE"/>
    <w:rsid w:val="00E508C5"/>
    <w:rsid w:val="00E519AA"/>
    <w:rsid w:val="00E56273"/>
    <w:rsid w:val="00E61E64"/>
    <w:rsid w:val="00E66E27"/>
    <w:rsid w:val="00E70089"/>
    <w:rsid w:val="00E71612"/>
    <w:rsid w:val="00E71A84"/>
    <w:rsid w:val="00E75EAA"/>
    <w:rsid w:val="00E81D32"/>
    <w:rsid w:val="00E90358"/>
    <w:rsid w:val="00E911CD"/>
    <w:rsid w:val="00E91DCE"/>
    <w:rsid w:val="00E94253"/>
    <w:rsid w:val="00E95E0E"/>
    <w:rsid w:val="00EB40E9"/>
    <w:rsid w:val="00EC153D"/>
    <w:rsid w:val="00EC7920"/>
    <w:rsid w:val="00ED17F6"/>
    <w:rsid w:val="00ED340C"/>
    <w:rsid w:val="00ED3964"/>
    <w:rsid w:val="00EE3144"/>
    <w:rsid w:val="00EF7F40"/>
    <w:rsid w:val="00F05B7C"/>
    <w:rsid w:val="00F140EE"/>
    <w:rsid w:val="00F153CD"/>
    <w:rsid w:val="00F2218A"/>
    <w:rsid w:val="00F22B6A"/>
    <w:rsid w:val="00F319BC"/>
    <w:rsid w:val="00F451DA"/>
    <w:rsid w:val="00F46206"/>
    <w:rsid w:val="00F60A65"/>
    <w:rsid w:val="00F62BE7"/>
    <w:rsid w:val="00F65761"/>
    <w:rsid w:val="00F703CA"/>
    <w:rsid w:val="00F93535"/>
    <w:rsid w:val="00F94597"/>
    <w:rsid w:val="00FA61EE"/>
    <w:rsid w:val="00FB5848"/>
    <w:rsid w:val="00FB7AAB"/>
    <w:rsid w:val="00FE064F"/>
    <w:rsid w:val="00FE1EF7"/>
    <w:rsid w:val="00FE2710"/>
    <w:rsid w:val="00FE2E5D"/>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D67B106-B508-4AB1-86C8-B2CFDCC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A738-0831-4789-8BAD-7C3F23C6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福光節子</cp:lastModifiedBy>
  <cp:revision>2</cp:revision>
  <cp:lastPrinted>2017-03-15T07:18:00Z</cp:lastPrinted>
  <dcterms:created xsi:type="dcterms:W3CDTF">2022-12-26T02:13:00Z</dcterms:created>
  <dcterms:modified xsi:type="dcterms:W3CDTF">2022-12-26T02:13:00Z</dcterms:modified>
</cp:coreProperties>
</file>